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rPr>
          <w:sz w:val="22"/>
        </w:rPr>
      </w:pPr>
      <w:bookmarkStart w:id="3" w:name="_GoBack"/>
      <w:bookmarkEnd w:id="3"/>
      <w:bookmarkStart w:id="0" w:name="_Ref494746248"/>
      <w:r>
        <w:rPr>
          <w:rFonts w:ascii="Arial" w:hAnsi="Arial" w:cs="Arial"/>
          <w:b/>
          <w:sz w:val="22"/>
        </w:rPr>
        <w:t>3GPP TSG RAN WG1 #10</w:t>
      </w:r>
      <w:r>
        <w:rPr>
          <w:rFonts w:hint="eastAsia" w:ascii="Arial" w:hAnsi="Arial" w:cs="Arial"/>
          <w:b/>
          <w:sz w:val="22"/>
        </w:rPr>
        <w:t>5-</w:t>
      </w:r>
      <w:r>
        <w:rPr>
          <w:rFonts w:ascii="Arial" w:hAnsi="Arial" w:cs="Arial"/>
          <w:b/>
          <w:sz w:val="22"/>
        </w:rPr>
        <w:t>e</w:t>
      </w:r>
      <w:r>
        <w:rPr>
          <w:rFonts w:ascii="Arial" w:hAnsi="Arial" w:cs="Arial"/>
          <w:b/>
          <w:sz w:val="22"/>
        </w:rPr>
        <w:tab/>
      </w:r>
      <w:r>
        <w:rPr>
          <w:rFonts w:hint="eastAsia" w:ascii="Arial" w:hAnsi="Arial" w:cs="Arial"/>
          <w:b/>
          <w:sz w:val="22"/>
        </w:rPr>
        <w:t>R1-2104577</w:t>
      </w:r>
    </w:p>
    <w:p>
      <w:pPr>
        <w:tabs>
          <w:tab w:val="right" w:pos="9630"/>
        </w:tabs>
        <w:rPr>
          <w:rFonts w:ascii="Arial" w:hAnsi="Arial" w:cs="Arial"/>
          <w:b/>
          <w:sz w:val="22"/>
        </w:rPr>
      </w:pPr>
      <w:r>
        <w:rPr>
          <w:rFonts w:ascii="Arial" w:hAnsi="Arial" w:cs="Arial"/>
          <w:b/>
          <w:sz w:val="22"/>
        </w:rPr>
        <w:t>e-Meeting, May 10</w:t>
      </w:r>
      <w:r>
        <w:rPr>
          <w:rFonts w:ascii="Arial" w:hAnsi="Arial" w:cs="Arial"/>
          <w:b/>
          <w:sz w:val="22"/>
          <w:vertAlign w:val="superscript"/>
        </w:rPr>
        <w:t>th</w:t>
      </w:r>
      <w:r>
        <w:rPr>
          <w:rFonts w:ascii="Arial" w:hAnsi="Arial" w:cs="Arial"/>
          <w:b/>
          <w:sz w:val="22"/>
        </w:rPr>
        <w:t xml:space="preserve"> – 27</w:t>
      </w:r>
      <w:r>
        <w:rPr>
          <w:rFonts w:ascii="Arial" w:hAnsi="Arial" w:cs="Arial"/>
          <w:b/>
          <w:sz w:val="22"/>
          <w:vertAlign w:val="superscript"/>
        </w:rPr>
        <w:t>th</w:t>
      </w:r>
      <w:r>
        <w:rPr>
          <w:rFonts w:ascii="Arial" w:hAnsi="Arial" w:cs="Arial"/>
          <w:b/>
          <w:sz w:val="22"/>
        </w:rPr>
        <w:t>, 2021</w:t>
      </w:r>
      <w:r>
        <w:rPr>
          <w:rFonts w:ascii="Arial" w:hAnsi="Arial" w:cs="Arial"/>
          <w:b/>
          <w:sz w:val="22"/>
        </w:rPr>
        <w:tab/>
      </w:r>
    </w:p>
    <w:p>
      <w:pPr>
        <w:pStyle w:val="37"/>
        <w:jc w:val="both"/>
      </w:pPr>
    </w:p>
    <w:p>
      <w:pPr>
        <w:tabs>
          <w:tab w:val="left" w:pos="1985"/>
        </w:tabs>
        <w:rPr>
          <w:rFonts w:ascii="Arial" w:hAnsi="Arial"/>
          <w:b/>
          <w:szCs w:val="20"/>
        </w:rPr>
      </w:pPr>
      <w:r>
        <w:rPr>
          <w:rFonts w:ascii="Arial" w:hAnsi="Arial"/>
          <w:b/>
          <w:szCs w:val="20"/>
        </w:rPr>
        <w:t xml:space="preserve">Source: </w:t>
      </w:r>
      <w:r>
        <w:rPr>
          <w:rFonts w:ascii="Arial" w:hAnsi="Arial"/>
          <w:b/>
          <w:szCs w:val="20"/>
        </w:rPr>
        <w:tab/>
      </w:r>
      <w:r>
        <w:rPr>
          <w:rFonts w:ascii="Arial" w:hAnsi="Arial"/>
          <w:b/>
          <w:szCs w:val="20"/>
        </w:rPr>
        <w:t>ZTE</w:t>
      </w:r>
    </w:p>
    <w:p>
      <w:pPr>
        <w:ind w:left="1988" w:hanging="1988"/>
        <w:rPr>
          <w:rFonts w:ascii="Arial" w:hAnsi="Arial"/>
          <w:b/>
          <w:szCs w:val="20"/>
        </w:rPr>
      </w:pPr>
      <w:r>
        <w:rPr>
          <w:rFonts w:ascii="Arial" w:hAnsi="Arial"/>
          <w:b/>
          <w:szCs w:val="20"/>
        </w:rPr>
        <w:t xml:space="preserve">Title: </w:t>
      </w:r>
      <w:r>
        <w:rPr>
          <w:rFonts w:ascii="Arial" w:hAnsi="Arial"/>
          <w:b/>
          <w:szCs w:val="20"/>
        </w:rPr>
        <w:tab/>
      </w:r>
      <w:r>
        <w:rPr>
          <w:rFonts w:hint="eastAsia" w:ascii="Arial" w:hAnsi="Arial"/>
          <w:b/>
          <w:szCs w:val="20"/>
        </w:rPr>
        <w:t>Further analysis and simulation for Multi-cell scheduling for both downlink and uplink</w:t>
      </w:r>
    </w:p>
    <w:p>
      <w:pPr>
        <w:tabs>
          <w:tab w:val="left" w:pos="1985"/>
        </w:tabs>
        <w:rPr>
          <w:rFonts w:ascii="Arial" w:hAnsi="Arial"/>
          <w:b/>
          <w:szCs w:val="20"/>
        </w:rPr>
      </w:pPr>
      <w:r>
        <w:rPr>
          <w:rFonts w:ascii="Arial" w:hAnsi="Arial"/>
          <w:b/>
          <w:szCs w:val="20"/>
        </w:rPr>
        <w:t>Agenda item:</w:t>
      </w:r>
      <w:r>
        <w:rPr>
          <w:rFonts w:ascii="Arial" w:hAnsi="Arial"/>
          <w:b/>
          <w:szCs w:val="20"/>
        </w:rPr>
        <w:tab/>
      </w:r>
      <w:r>
        <w:rPr>
          <w:rFonts w:ascii="Arial" w:hAnsi="Arial"/>
          <w:b/>
          <w:szCs w:val="20"/>
        </w:rPr>
        <w:t>8.13.</w:t>
      </w:r>
      <w:r>
        <w:rPr>
          <w:rFonts w:hint="eastAsia" w:ascii="Arial" w:hAnsi="Arial"/>
          <w:b/>
          <w:szCs w:val="20"/>
        </w:rPr>
        <w:t>4</w:t>
      </w:r>
    </w:p>
    <w:p>
      <w:pPr>
        <w:ind w:left="1990" w:hanging="1990"/>
        <w:rPr>
          <w:rFonts w:ascii="Arial" w:hAnsi="Arial"/>
          <w:b/>
          <w:szCs w:val="20"/>
        </w:rPr>
      </w:pPr>
      <w:r>
        <w:rPr>
          <w:rFonts w:ascii="Arial" w:hAnsi="Arial"/>
          <w:b/>
          <w:szCs w:val="20"/>
        </w:rPr>
        <w:t>Document for:</w:t>
      </w:r>
      <w:r>
        <w:rPr>
          <w:rFonts w:ascii="Arial" w:hAnsi="Arial"/>
          <w:b/>
          <w:szCs w:val="20"/>
        </w:rPr>
        <w:tab/>
      </w:r>
      <w:bookmarkStart w:id="1" w:name="DocumentFor"/>
      <w:bookmarkEnd w:id="1"/>
      <w:r>
        <w:rPr>
          <w:rFonts w:ascii="Arial" w:hAnsi="Arial"/>
          <w:b/>
          <w:szCs w:val="20"/>
        </w:rPr>
        <w:t>Discussion/Decision</w:t>
      </w:r>
    </w:p>
    <w:p>
      <w:pPr>
        <w:pStyle w:val="2"/>
      </w:pPr>
      <w:bookmarkStart w:id="2" w:name="_Ref4817"/>
      <w:r>
        <w:t>Introduction</w:t>
      </w:r>
      <w:bookmarkEnd w:id="0"/>
      <w:bookmarkEnd w:id="2"/>
    </w:p>
    <w:p>
      <w:pPr>
        <w:spacing w:before="120" w:beforeLines="50"/>
        <w:rPr>
          <w:szCs w:val="20"/>
        </w:rPr>
      </w:pPr>
      <w:r>
        <w:rPr>
          <w:rFonts w:hint="eastAsia"/>
          <w:szCs w:val="20"/>
          <w:lang w:val="en-GB"/>
        </w:rPr>
        <w:t>D</w:t>
      </w:r>
      <w:r>
        <w:rPr>
          <w:szCs w:val="20"/>
          <w:lang w:val="en-GB"/>
        </w:rPr>
        <w:t>uring RAN</w:t>
      </w:r>
      <w:r>
        <w:rPr>
          <w:rFonts w:hint="eastAsia"/>
          <w:szCs w:val="20"/>
          <w:lang w:val="en-US" w:eastAsia="zh-CN"/>
        </w:rPr>
        <w:t xml:space="preserve"> </w:t>
      </w:r>
      <w:r>
        <w:rPr>
          <w:szCs w:val="20"/>
          <w:lang w:val="en-GB"/>
        </w:rPr>
        <w:t>#86 meeting, a new work item on DSS (dynamic spectrum sharing) was approved for Rel-17 [1]. In this WI, two main objectives are included, i.e., SCell-schedule-PCell and one-to-two scheduling.</w:t>
      </w:r>
      <w:r>
        <w:rPr>
          <w:rFonts w:hint="eastAsia"/>
          <w:szCs w:val="20"/>
          <w:lang w:val="en-GB"/>
        </w:rPr>
        <w:t xml:space="preserve"> </w:t>
      </w:r>
      <w:r>
        <w:rPr>
          <w:szCs w:val="20"/>
          <w:lang w:val="en-GB"/>
        </w:rPr>
        <w:t>The two objectives are mainly introduced to reduce the PDCCH blockage issue under DSS scenario.</w:t>
      </w:r>
      <w:r>
        <w:rPr>
          <w:szCs w:val="20"/>
        </w:rPr>
        <w:t xml:space="preserve"> During RAN</w:t>
      </w:r>
      <w:r>
        <w:rPr>
          <w:rFonts w:hint="eastAsia"/>
          <w:szCs w:val="20"/>
          <w:lang w:val="en-US" w:eastAsia="zh-CN"/>
        </w:rPr>
        <w:t xml:space="preserve"> </w:t>
      </w:r>
      <w:r>
        <w:rPr>
          <w:szCs w:val="20"/>
        </w:rPr>
        <w:t xml:space="preserve">#91-e meeting, companies discussed whether/how to update the WID for this topic but couldn’t reach any consensus. </w:t>
      </w:r>
      <w:r>
        <w:rPr>
          <w:rFonts w:hint="eastAsia"/>
          <w:szCs w:val="20"/>
        </w:rPr>
        <w:t xml:space="preserve">One of the main reasons for </w:t>
      </w:r>
      <w:r>
        <w:rPr>
          <w:szCs w:val="20"/>
        </w:rPr>
        <w:t>not</w:t>
      </w:r>
      <w:r>
        <w:rPr>
          <w:rFonts w:hint="eastAsia"/>
          <w:szCs w:val="20"/>
        </w:rPr>
        <w:t xml:space="preserve"> reach</w:t>
      </w:r>
      <w:r>
        <w:rPr>
          <w:szCs w:val="20"/>
        </w:rPr>
        <w:t>ing</w:t>
      </w:r>
      <w:r>
        <w:rPr>
          <w:rFonts w:hint="eastAsia"/>
          <w:szCs w:val="20"/>
        </w:rPr>
        <w:t xml:space="preserve"> an agreement is that the gain of unidirectional one-to-two scheduling is marginal. </w:t>
      </w:r>
      <w:r>
        <w:t xml:space="preserve">Companies mentioned </w:t>
      </w:r>
      <w:r>
        <w:rPr>
          <w:rFonts w:hint="eastAsia"/>
          <w:b/>
          <w:bCs/>
        </w:rPr>
        <w:t>Multi-cell Scheduling for Uplink</w:t>
      </w:r>
      <w:r>
        <w:rPr>
          <w:rFonts w:hint="eastAsia"/>
        </w:rPr>
        <w:t xml:space="preserve"> and </w:t>
      </w:r>
      <w:r>
        <w:rPr>
          <w:rFonts w:hint="eastAsia"/>
          <w:b/>
          <w:bCs/>
        </w:rPr>
        <w:t>One DCI scheduling PDSCH/PUSCH for more than 2 cells</w:t>
      </w:r>
      <w:r>
        <w:t xml:space="preserve"> </w:t>
      </w:r>
      <w:r>
        <w:rPr>
          <w:rFonts w:hint="eastAsia"/>
        </w:rPr>
        <w:t>as</w:t>
      </w:r>
      <w:r>
        <w:t xml:space="preserve"> two potential way</w:t>
      </w:r>
      <w:r>
        <w:rPr>
          <w:rFonts w:hint="eastAsia"/>
        </w:rPr>
        <w:t>s</w:t>
      </w:r>
      <w:r>
        <w:t xml:space="preserve"> forward to increase the performance gain for one-to-two scheduling considering the current gain simulated by companies is limited.</w:t>
      </w:r>
    </w:p>
    <w:p>
      <w:pPr>
        <w:spacing w:before="120" w:beforeLines="50"/>
        <w:rPr>
          <w:lang w:val="en-GB"/>
        </w:rPr>
      </w:pPr>
      <w:r>
        <w:rPr>
          <w:szCs w:val="20"/>
          <w:lang w:val="en-GB"/>
        </w:rPr>
        <w:t xml:space="preserve">In </w:t>
      </w:r>
      <w:r>
        <w:rPr>
          <w:rFonts w:hint="eastAsia"/>
          <w:szCs w:val="20"/>
          <w:lang w:val="en-GB"/>
        </w:rPr>
        <w:t>this contribution</w:t>
      </w:r>
      <w:r>
        <w:rPr>
          <w:szCs w:val="20"/>
          <w:lang w:val="en-GB"/>
        </w:rPr>
        <w:t>, we provide our additional analysis for multi-cell scheduling taking into the comments raised in RAN</w:t>
      </w:r>
      <w:r>
        <w:rPr>
          <w:rFonts w:hint="eastAsia"/>
          <w:szCs w:val="20"/>
          <w:lang w:val="en-US" w:eastAsia="zh-CN"/>
        </w:rPr>
        <w:t xml:space="preserve"> </w:t>
      </w:r>
      <w:r>
        <w:rPr>
          <w:szCs w:val="20"/>
          <w:lang w:val="en-GB"/>
        </w:rPr>
        <w:t>#91-e meeting, which includes mainly two parts, multi-cell scheduling for uplink and one DCI scheduling PDSCH/PUSCH for more than 2 cells.</w:t>
      </w:r>
    </w:p>
    <w:p>
      <w:pPr>
        <w:pStyle w:val="2"/>
      </w:pPr>
      <w:r>
        <w:rPr>
          <w:rFonts w:hint="eastAsia"/>
        </w:rPr>
        <w:t xml:space="preserve">Analysis and Simulation for </w:t>
      </w:r>
      <w:r>
        <w:rPr>
          <w:lang w:val="en-US"/>
        </w:rPr>
        <w:t xml:space="preserve">Multi-cell Scheduling </w:t>
      </w:r>
      <w:r>
        <w:t>for both Uplink and Downlink</w:t>
      </w:r>
    </w:p>
    <w:p>
      <w:r>
        <w:t>During RAN</w:t>
      </w:r>
      <w:r>
        <w:rPr>
          <w:rFonts w:hint="eastAsia"/>
          <w:lang w:val="en-US" w:eastAsia="zh-CN"/>
        </w:rPr>
        <w:t xml:space="preserve"> </w:t>
      </w:r>
      <w:r>
        <w:t xml:space="preserve">#91-e meeting, companies raised the concern that it may lead to implementation fragmentation if we only specify one-to-two downlink scheduling in Rel-17. </w:t>
      </w:r>
      <w:r>
        <w:rPr>
          <w:rFonts w:hint="eastAsia"/>
          <w:lang w:val="en-US" w:eastAsia="zh-CN"/>
        </w:rPr>
        <w:t>In addition, t</w:t>
      </w:r>
      <w:r>
        <w:t>he following two potential way</w:t>
      </w:r>
      <w:r>
        <w:rPr>
          <w:rFonts w:hint="eastAsia"/>
          <w:lang w:val="en-US" w:eastAsia="zh-CN"/>
        </w:rPr>
        <w:t xml:space="preserve">s were </w:t>
      </w:r>
      <w:r>
        <w:t xml:space="preserve">mentioned </w:t>
      </w:r>
      <w:r>
        <w:rPr>
          <w:rFonts w:hint="eastAsia"/>
          <w:lang w:val="en-US" w:eastAsia="zh-CN"/>
        </w:rPr>
        <w:t>by some c</w:t>
      </w:r>
      <w:r>
        <w:t>ompanies to increase the performance gain for one-to-two scheduling.</w:t>
      </w:r>
    </w:p>
    <w:p>
      <w:pPr>
        <w:ind w:left="200" w:leftChars="100"/>
      </w:pPr>
      <w:r>
        <w:t>1. Multi-cell scheduling for uplink</w:t>
      </w:r>
    </w:p>
    <w:p>
      <w:pPr>
        <w:ind w:left="200" w:leftChars="100"/>
      </w:pPr>
      <w:r>
        <w:t>2. One DCI scheduling PDSCH/PUSCH for more than 2 cells</w:t>
      </w:r>
    </w:p>
    <w:p>
      <w:pPr>
        <w:pStyle w:val="3"/>
      </w:pPr>
      <w:r>
        <w:rPr>
          <w:lang w:val="en-US"/>
        </w:rPr>
        <w:t>Multi-cell scheduling for uplink</w:t>
      </w:r>
    </w:p>
    <w:p>
      <w:pPr>
        <w:spacing w:before="120" w:beforeLines="50"/>
      </w:pPr>
      <w:r>
        <w:rPr>
          <w:rFonts w:hint="eastAsia"/>
        </w:rPr>
        <w:t xml:space="preserve">In some scenarios where both the uplink throughput and the downlink throughput are very large, such as AR/VR/XR, </w:t>
      </w:r>
      <w:r>
        <w:t>both</w:t>
      </w:r>
      <w:r>
        <w:rPr>
          <w:rFonts w:hint="eastAsia"/>
        </w:rPr>
        <w:t xml:space="preserve"> uplink and downlink one-to-two scheduling </w:t>
      </w:r>
      <w:r>
        <w:t>can</w:t>
      </w:r>
      <w:r>
        <w:rPr>
          <w:rFonts w:hint="eastAsia"/>
        </w:rPr>
        <w:t xml:space="preserve"> be applied to reduce PDCCH blocking rate. Compared with unidirectional one-to-two scheduling, this way make</w:t>
      </w:r>
      <w:r>
        <w:t>s</w:t>
      </w:r>
      <w:r>
        <w:rPr>
          <w:rFonts w:hint="eastAsia"/>
        </w:rPr>
        <w:t xml:space="preserve"> the </w:t>
      </w:r>
      <w:r>
        <w:t xml:space="preserve">potential gain of PDCCH </w:t>
      </w:r>
      <w:r>
        <w:rPr>
          <w:rFonts w:hint="eastAsia"/>
        </w:rPr>
        <w:t>blocking rate more considerable.</w:t>
      </w:r>
    </w:p>
    <w:p>
      <w:pPr>
        <w:spacing w:before="120" w:beforeLines="50"/>
      </w:pPr>
      <w:r>
        <w:rPr>
          <w:rFonts w:hint="eastAsia"/>
        </w:rPr>
        <w:t xml:space="preserve">To compare the performance of only enabling one-to-two downlink scheduling and enabling both uplink and downlink one-to-two scheduling in typical scenarios, the PDCCH blocking rate is evaluated. </w:t>
      </w:r>
    </w:p>
    <w:p>
      <w:pPr>
        <w:spacing w:before="120" w:beforeLines="50"/>
      </w:pPr>
      <w:r>
        <w:rPr>
          <w:rFonts w:hint="eastAsia"/>
        </w:rPr>
        <w:t>As shown in Fig.1, three cases are simulated, the first one is the legacy DCI case (case 1), the second one is only enabling one-to-two downlink scheduling case (case 2), and the last one is enabling both uplink and downlink one-to-two scheduling</w:t>
      </w:r>
      <w:r>
        <w:t xml:space="preserve"> case</w:t>
      </w:r>
      <w:r>
        <w:rPr>
          <w:rFonts w:hint="eastAsia"/>
        </w:rPr>
        <w:t xml:space="preserve"> (case 3). For the case 1, two uplink DCIs and two downlink DCIs with normal size </w:t>
      </w:r>
      <w:r>
        <w:t xml:space="preserve">(60 bits) </w:t>
      </w:r>
      <w:r>
        <w:rPr>
          <w:rFonts w:hint="eastAsia"/>
        </w:rPr>
        <w:t xml:space="preserve">are used to schedule </w:t>
      </w:r>
      <w:r>
        <w:t xml:space="preserve">PUSCH and </w:t>
      </w:r>
      <w:r>
        <w:rPr>
          <w:rFonts w:hint="eastAsia"/>
        </w:rPr>
        <w:t>PDSCH on two cells</w:t>
      </w:r>
      <w:r>
        <w:t>,</w:t>
      </w:r>
      <w:r>
        <w:rPr>
          <w:rFonts w:hint="eastAsia"/>
        </w:rPr>
        <w:t xml:space="preserve"> respectively. For the case 2, one bigger size downlink DCI </w:t>
      </w:r>
      <w:r>
        <w:t xml:space="preserve">(84bits) </w:t>
      </w:r>
      <w:r>
        <w:rPr>
          <w:rFonts w:hint="eastAsia"/>
        </w:rPr>
        <w:t xml:space="preserve">is used to schedule PDSCH on two cells and two uplink DCIs with normal size </w:t>
      </w:r>
      <w:r>
        <w:t xml:space="preserve">(60 bits) </w:t>
      </w:r>
      <w:r>
        <w:rPr>
          <w:rFonts w:hint="eastAsia"/>
        </w:rPr>
        <w:t>are used to schedule</w:t>
      </w:r>
      <w:r>
        <w:rPr>
          <w:rFonts w:hint="eastAsia"/>
          <w:lang w:val="en-US" w:eastAsia="zh-CN"/>
        </w:rPr>
        <w:t xml:space="preserve"> </w:t>
      </w:r>
      <w:r>
        <w:rPr>
          <w:rFonts w:hint="eastAsia"/>
        </w:rPr>
        <w:t xml:space="preserve">PUSCH on two cells respectively. For the case 3, one bigger size downlink DCI </w:t>
      </w:r>
      <w:r>
        <w:t xml:space="preserve">(84bits) </w:t>
      </w:r>
      <w:r>
        <w:rPr>
          <w:rFonts w:hint="eastAsia"/>
        </w:rPr>
        <w:t xml:space="preserve">is used to schedule PDSCH on two cells and one bigger size </w:t>
      </w:r>
      <w:r>
        <w:t>uplink</w:t>
      </w:r>
      <w:r>
        <w:rPr>
          <w:rFonts w:hint="eastAsia"/>
        </w:rPr>
        <w:t xml:space="preserve"> DCI </w:t>
      </w:r>
      <w:r>
        <w:t xml:space="preserve">(84bits) </w:t>
      </w:r>
      <w:r>
        <w:rPr>
          <w:rFonts w:hint="eastAsia"/>
        </w:rPr>
        <w:t>is used to schedule PUSCH on two cells. The remaining details of simulation assumptions (</w:t>
      </w:r>
      <w:r>
        <w:t>Table A-1)</w:t>
      </w:r>
      <w:r>
        <w:rPr>
          <w:rFonts w:hint="eastAsia"/>
        </w:rPr>
        <w:t xml:space="preserve"> are listed in the appendix Section </w:t>
      </w:r>
      <w:r>
        <w:rPr>
          <w:rFonts w:hint="eastAsia"/>
          <w:lang w:val="en-US" w:eastAsia="zh-CN"/>
        </w:rPr>
        <w:t>4.1</w:t>
      </w:r>
      <w:r>
        <w:rPr>
          <w:rFonts w:hint="eastAsia"/>
        </w:rPr>
        <w:t xml:space="preserve">. </w:t>
      </w:r>
    </w:p>
    <w:p>
      <w:pPr>
        <w:rPr>
          <w:i/>
          <w:iCs/>
        </w:rPr>
      </w:pPr>
      <w:r>
        <w:drawing>
          <wp:inline distT="0" distB="0" distL="114300" distR="114300">
            <wp:extent cx="6120130" cy="2128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20130" cy="2128520"/>
                    </a:xfrm>
                    <a:prstGeom prst="rect">
                      <a:avLst/>
                    </a:prstGeom>
                    <a:noFill/>
                    <a:ln>
                      <a:noFill/>
                    </a:ln>
                  </pic:spPr>
                </pic:pic>
              </a:graphicData>
            </a:graphic>
          </wp:inline>
        </w:drawing>
      </w:r>
    </w:p>
    <w:p>
      <w:pPr>
        <w:spacing w:after="180"/>
        <w:jc w:val="center"/>
      </w:pPr>
      <w:r>
        <w:t xml:space="preserve">Fig. </w:t>
      </w:r>
      <w:r>
        <w:rPr>
          <w:rFonts w:hint="eastAsia"/>
        </w:rPr>
        <w:t>1</w:t>
      </w:r>
      <w:r>
        <w:t xml:space="preserve"> </w:t>
      </w:r>
      <w:r>
        <w:rPr>
          <w:rFonts w:hint="eastAsia"/>
        </w:rPr>
        <w:t>D</w:t>
      </w:r>
      <w:r>
        <w:t xml:space="preserve">ifferent simulation </w:t>
      </w:r>
      <w:r>
        <w:rPr>
          <w:rFonts w:hint="eastAsia"/>
        </w:rPr>
        <w:t>cases</w:t>
      </w:r>
    </w:p>
    <w:p>
      <w:r>
        <w:rPr>
          <w:rFonts w:hint="eastAsia"/>
        </w:rPr>
        <w:t xml:space="preserve">The simulation results of </w:t>
      </w:r>
      <w:r>
        <w:rPr>
          <w:rFonts w:hint="eastAsia"/>
          <w:lang w:val="en-US" w:eastAsia="zh-CN"/>
        </w:rPr>
        <w:t xml:space="preserve">PDCCH </w:t>
      </w:r>
      <w:r>
        <w:rPr>
          <w:rFonts w:hint="eastAsia"/>
        </w:rPr>
        <w:t xml:space="preserve">blocking rate are showed in Fig.2 and Table 1. </w:t>
      </w:r>
      <w:r>
        <w:t xml:space="preserve">In Table </w:t>
      </w:r>
      <w:r>
        <w:rPr>
          <w:rFonts w:hint="eastAsia"/>
        </w:rPr>
        <w:t>1</w:t>
      </w:r>
      <w:r>
        <w:t xml:space="preserve">, </w:t>
      </w:r>
      <w:r>
        <w:rPr>
          <w:i/>
          <w:iCs/>
        </w:rPr>
        <w:t>A</w:t>
      </w:r>
      <w:r>
        <w:t>=</w:t>
      </w:r>
      <w:r>
        <w:rPr>
          <w:i/>
          <w:iCs/>
        </w:rPr>
        <w:t>a</w:t>
      </w:r>
      <w:r>
        <w:t>-</w:t>
      </w:r>
      <w:r>
        <w:rPr>
          <w:i/>
          <w:iCs/>
        </w:rPr>
        <w:t>b</w:t>
      </w:r>
      <w:r>
        <w:rPr>
          <w:rFonts w:hint="eastAsia"/>
          <w:i/>
          <w:iCs/>
        </w:rPr>
        <w:t xml:space="preserve"> </w:t>
      </w:r>
      <w:r>
        <w:t xml:space="preserve">and </w:t>
      </w:r>
      <w:r>
        <w:rPr>
          <w:rFonts w:hint="eastAsia"/>
          <w:i/>
          <w:iCs/>
        </w:rPr>
        <w:t>B=a-c</w:t>
      </w:r>
      <w:r>
        <w:rPr>
          <w:rFonts w:hint="eastAsia"/>
        </w:rPr>
        <w:t xml:space="preserve">, where </w:t>
      </w:r>
      <w:r>
        <w:rPr>
          <w:i/>
          <w:iCs/>
        </w:rPr>
        <w:t>a</w:t>
      </w:r>
      <w:r>
        <w:t xml:space="preserve"> is </w:t>
      </w:r>
      <w:r>
        <w:rPr>
          <w:rFonts w:hint="eastAsia"/>
          <w:lang w:val="en-US" w:eastAsia="zh-CN"/>
        </w:rPr>
        <w:t xml:space="preserve">PDCCH </w:t>
      </w:r>
      <w:r>
        <w:t>blocking rate of case</w:t>
      </w:r>
      <w:r>
        <w:rPr>
          <w:rFonts w:hint="eastAsia"/>
        </w:rPr>
        <w:t xml:space="preserve"> 1, </w:t>
      </w:r>
      <w:r>
        <w:rPr>
          <w:i/>
          <w:iCs/>
        </w:rPr>
        <w:t>b</w:t>
      </w:r>
      <w:r>
        <w:rPr>
          <w:rFonts w:hint="eastAsia"/>
        </w:rPr>
        <w:t xml:space="preserve"> is </w:t>
      </w:r>
      <w:r>
        <w:rPr>
          <w:rFonts w:hint="eastAsia"/>
          <w:lang w:val="en-US" w:eastAsia="zh-CN"/>
        </w:rPr>
        <w:t>PDCCH</w:t>
      </w:r>
      <w:r>
        <w:rPr>
          <w:rFonts w:hint="eastAsia"/>
        </w:rPr>
        <w:t xml:space="preserve"> blocking rate of case 2, and </w:t>
      </w:r>
      <w:r>
        <w:rPr>
          <w:rFonts w:hint="eastAsia"/>
          <w:i/>
          <w:iCs/>
        </w:rPr>
        <w:t>c</w:t>
      </w:r>
      <w:r>
        <w:rPr>
          <w:rFonts w:hint="eastAsia"/>
        </w:rPr>
        <w:t xml:space="preserve"> is </w:t>
      </w:r>
      <w:r>
        <w:rPr>
          <w:rFonts w:hint="eastAsia"/>
          <w:lang w:val="en-US" w:eastAsia="zh-CN"/>
        </w:rPr>
        <w:t>PDCCH</w:t>
      </w:r>
      <w:r>
        <w:rPr>
          <w:rFonts w:hint="eastAsia"/>
        </w:rPr>
        <w:t xml:space="preserve"> blocking rate of case 3.</w:t>
      </w:r>
    </w:p>
    <w:p>
      <w:pPr>
        <w:jc w:val="center"/>
      </w:pPr>
      <w:r>
        <w:drawing>
          <wp:inline distT="0" distB="0" distL="114300" distR="114300">
            <wp:extent cx="5039995" cy="2874010"/>
            <wp:effectExtent l="0" t="0" r="0" b="0"/>
            <wp:docPr id="15" name="图片 6"/>
            <wp:cNvGraphicFramePr/>
            <a:graphic xmlns:a="http://schemas.openxmlformats.org/drawingml/2006/main">
              <a:graphicData uri="http://schemas.openxmlformats.org/drawingml/2006/picture">
                <pic:pic xmlns:pic="http://schemas.openxmlformats.org/drawingml/2006/picture">
                  <pic:nvPicPr>
                    <pic:cNvPr id="15" name="图片 6"/>
                    <pic:cNvPicPr/>
                  </pic:nvPicPr>
                  <pic:blipFill>
                    <a:blip r:embed="rId8"/>
                    <a:stretch>
                      <a:fillRect/>
                    </a:stretch>
                  </pic:blipFill>
                  <pic:spPr>
                    <a:xfrm>
                      <a:off x="0" y="0"/>
                      <a:ext cx="5039995" cy="2874010"/>
                    </a:xfrm>
                    <a:prstGeom prst="rect">
                      <a:avLst/>
                    </a:prstGeom>
                    <a:noFill/>
                    <a:ln>
                      <a:noFill/>
                    </a:ln>
                  </pic:spPr>
                </pic:pic>
              </a:graphicData>
            </a:graphic>
          </wp:inline>
        </w:drawing>
      </w:r>
    </w:p>
    <w:p>
      <w:pPr>
        <w:spacing w:after="180"/>
        <w:jc w:val="center"/>
      </w:pPr>
      <w:r>
        <w:t xml:space="preserve">Fig. </w:t>
      </w:r>
      <w:r>
        <w:rPr>
          <w:rFonts w:hint="eastAsia"/>
        </w:rPr>
        <w:t>2</w:t>
      </w:r>
      <w:r>
        <w:t xml:space="preserve"> PDCCH blocking rate</w:t>
      </w:r>
    </w:p>
    <w:p>
      <w:pPr>
        <w:jc w:val="center"/>
      </w:pPr>
      <w:r>
        <w:rPr>
          <w:rFonts w:hint="eastAsia"/>
        </w:rPr>
        <w:t>Table 1</w:t>
      </w:r>
      <w:r>
        <w:t xml:space="preserve"> </w:t>
      </w:r>
      <w:r>
        <w:rPr>
          <w:rFonts w:hint="eastAsia"/>
        </w:rPr>
        <w:t>Gain for different simulation cases</w:t>
      </w:r>
    </w:p>
    <w:tbl>
      <w:tblPr>
        <w:tblStyle w:val="51"/>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2159"/>
        <w:gridCol w:w="2381"/>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vAlign w:val="center"/>
          </w:tcPr>
          <w:p>
            <w:pPr>
              <w:spacing w:before="0" w:line="280" w:lineRule="atLeast"/>
              <w:jc w:val="center"/>
              <w:rPr>
                <w:rFonts w:ascii="New York" w:hAnsi="New York"/>
              </w:rPr>
            </w:pPr>
            <w:r>
              <w:rPr>
                <w:rFonts w:hint="eastAsia" w:ascii="New York" w:hAnsi="New York"/>
              </w:rPr>
              <w:t>UE number per cell</w:t>
            </w:r>
          </w:p>
        </w:tc>
        <w:tc>
          <w:tcPr>
            <w:tcW w:w="2184" w:type="dxa"/>
            <w:vAlign w:val="center"/>
          </w:tcPr>
          <w:p>
            <w:pPr>
              <w:spacing w:before="0" w:line="280" w:lineRule="atLeast"/>
              <w:jc w:val="center"/>
              <w:rPr>
                <w:rFonts w:ascii="New York" w:hAnsi="New York"/>
              </w:rPr>
            </w:pPr>
            <w:r>
              <w:rPr>
                <w:rFonts w:hint="eastAsia" w:ascii="New York" w:hAnsi="New York"/>
              </w:rPr>
              <w:t xml:space="preserve">Gain </w:t>
            </w:r>
            <w:r>
              <w:rPr>
                <w:rFonts w:ascii="New York" w:hAnsi="New York"/>
                <w:i/>
                <w:iCs/>
              </w:rPr>
              <w:t>A</w:t>
            </w:r>
            <w:r>
              <w:rPr>
                <w:rFonts w:hint="eastAsia" w:ascii="New York" w:hAnsi="New York"/>
              </w:rPr>
              <w:t xml:space="preserve"> for DL one-scheduling-two</w:t>
            </w:r>
          </w:p>
        </w:tc>
        <w:tc>
          <w:tcPr>
            <w:tcW w:w="2409" w:type="dxa"/>
            <w:vAlign w:val="center"/>
          </w:tcPr>
          <w:p>
            <w:pPr>
              <w:spacing w:before="0" w:line="280" w:lineRule="atLeast"/>
              <w:jc w:val="center"/>
              <w:rPr>
                <w:rFonts w:ascii="New York" w:hAnsi="New York"/>
              </w:rPr>
            </w:pPr>
            <w:r>
              <w:rPr>
                <w:rFonts w:hint="eastAsia" w:ascii="New York" w:hAnsi="New York"/>
              </w:rPr>
              <w:t xml:space="preserve">Gain </w:t>
            </w:r>
            <w:r>
              <w:rPr>
                <w:rFonts w:ascii="New York" w:hAnsi="New York"/>
                <w:i/>
                <w:iCs/>
              </w:rPr>
              <w:t>B</w:t>
            </w:r>
            <w:r>
              <w:rPr>
                <w:rFonts w:hint="eastAsia" w:ascii="New York" w:hAnsi="New York"/>
              </w:rPr>
              <w:t xml:space="preserve"> for DL one-scheduling-two + UL one-scheduling-two</w:t>
            </w:r>
          </w:p>
        </w:tc>
        <w:tc>
          <w:tcPr>
            <w:tcW w:w="2514" w:type="dxa"/>
            <w:vAlign w:val="center"/>
          </w:tcPr>
          <w:p>
            <w:pPr>
              <w:spacing w:before="0" w:line="280" w:lineRule="atLeast"/>
              <w:jc w:val="center"/>
              <w:rPr>
                <w:rFonts w:ascii="New York" w:hAnsi="New York"/>
              </w:rPr>
            </w:pPr>
            <w:r>
              <w:rPr>
                <w:rFonts w:ascii="New York" w:hAnsi="New York"/>
                <w:i/>
                <w:iCs/>
              </w:rPr>
              <w:t>B</w:t>
            </w:r>
            <w:r>
              <w:rPr>
                <w:rFonts w:hint="eastAsia" w:ascii="New York" w:hAnsi="New York"/>
              </w:rPr>
              <w:t>-</w:t>
            </w:r>
            <w:r>
              <w:rPr>
                <w:rFonts w:ascii="New York" w:hAnsi="New York"/>
                <w:i/>
                <w:iCs/>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w:t>
            </w:r>
          </w:p>
        </w:tc>
        <w:tc>
          <w:tcPr>
            <w:tcW w:w="2184" w:type="dxa"/>
            <w:vAlign w:val="center"/>
          </w:tcPr>
          <w:p>
            <w:pPr>
              <w:spacing w:before="0" w:line="280" w:lineRule="atLeast"/>
              <w:jc w:val="center"/>
              <w:rPr>
                <w:rFonts w:ascii="New York" w:hAnsi="New York"/>
              </w:rPr>
            </w:pPr>
            <w:r>
              <w:rPr>
                <w:rFonts w:ascii="New York" w:hAnsi="New York"/>
                <w:lang w:bidi="ar"/>
              </w:rPr>
              <w:t>12.84%</w:t>
            </w:r>
          </w:p>
        </w:tc>
        <w:tc>
          <w:tcPr>
            <w:tcW w:w="2409" w:type="dxa"/>
            <w:vAlign w:val="center"/>
          </w:tcPr>
          <w:p>
            <w:pPr>
              <w:spacing w:before="0" w:line="280" w:lineRule="atLeast"/>
              <w:jc w:val="center"/>
              <w:rPr>
                <w:rFonts w:ascii="New York" w:hAnsi="New York"/>
              </w:rPr>
            </w:pPr>
            <w:r>
              <w:rPr>
                <w:rFonts w:ascii="New York" w:hAnsi="New York"/>
                <w:lang w:bidi="ar"/>
              </w:rPr>
              <w:t>18.48%</w:t>
            </w:r>
          </w:p>
        </w:tc>
        <w:tc>
          <w:tcPr>
            <w:tcW w:w="2514" w:type="dxa"/>
            <w:vAlign w:val="center"/>
          </w:tcPr>
          <w:p>
            <w:pPr>
              <w:spacing w:before="0" w:line="280" w:lineRule="atLeast"/>
              <w:jc w:val="center"/>
              <w:rPr>
                <w:rFonts w:ascii="New York" w:hAnsi="New York"/>
              </w:rPr>
            </w:pPr>
            <w:r>
              <w:rPr>
                <w:rFonts w:ascii="New York" w:hAnsi="New York"/>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2</w:t>
            </w:r>
          </w:p>
        </w:tc>
        <w:tc>
          <w:tcPr>
            <w:tcW w:w="2184" w:type="dxa"/>
            <w:vAlign w:val="center"/>
          </w:tcPr>
          <w:p>
            <w:pPr>
              <w:spacing w:before="0" w:line="280" w:lineRule="atLeast"/>
              <w:jc w:val="center"/>
              <w:rPr>
                <w:rFonts w:ascii="New York" w:hAnsi="New York"/>
              </w:rPr>
            </w:pPr>
            <w:r>
              <w:rPr>
                <w:rFonts w:hint="eastAsia" w:ascii="New York" w:hAnsi="New York"/>
                <w:lang w:bidi="ar"/>
              </w:rPr>
              <w:t>9.20%</w:t>
            </w:r>
          </w:p>
        </w:tc>
        <w:tc>
          <w:tcPr>
            <w:tcW w:w="2409" w:type="dxa"/>
            <w:vAlign w:val="center"/>
          </w:tcPr>
          <w:p>
            <w:pPr>
              <w:spacing w:before="0" w:line="280" w:lineRule="atLeast"/>
              <w:jc w:val="center"/>
              <w:rPr>
                <w:rFonts w:ascii="New York" w:hAnsi="New York"/>
              </w:rPr>
            </w:pPr>
            <w:r>
              <w:rPr>
                <w:rFonts w:hint="eastAsia" w:ascii="New York" w:hAnsi="New York"/>
                <w:lang w:bidi="ar"/>
              </w:rPr>
              <w:t>15.89%</w:t>
            </w:r>
          </w:p>
        </w:tc>
        <w:tc>
          <w:tcPr>
            <w:tcW w:w="2514" w:type="dxa"/>
            <w:vAlign w:val="center"/>
          </w:tcPr>
          <w:p>
            <w:pPr>
              <w:spacing w:before="0" w:line="280" w:lineRule="atLeast"/>
              <w:jc w:val="center"/>
              <w:rPr>
                <w:rFonts w:ascii="New York" w:hAnsi="New York"/>
              </w:rPr>
            </w:pPr>
            <w:r>
              <w:rPr>
                <w:rFonts w:hint="eastAsia" w:ascii="New York" w:hAnsi="New York"/>
                <w:lang w:bidi="ar"/>
              </w:rPr>
              <w:t>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3</w:t>
            </w:r>
          </w:p>
        </w:tc>
        <w:tc>
          <w:tcPr>
            <w:tcW w:w="2184" w:type="dxa"/>
            <w:vAlign w:val="center"/>
          </w:tcPr>
          <w:p>
            <w:pPr>
              <w:spacing w:before="0" w:line="280" w:lineRule="atLeast"/>
              <w:jc w:val="center"/>
              <w:rPr>
                <w:rFonts w:ascii="New York" w:hAnsi="New York"/>
              </w:rPr>
            </w:pPr>
            <w:r>
              <w:rPr>
                <w:rFonts w:hint="eastAsia" w:ascii="New York" w:hAnsi="New York"/>
                <w:lang w:bidi="ar"/>
              </w:rPr>
              <w:t>9.23%</w:t>
            </w:r>
          </w:p>
        </w:tc>
        <w:tc>
          <w:tcPr>
            <w:tcW w:w="2409" w:type="dxa"/>
            <w:vAlign w:val="center"/>
          </w:tcPr>
          <w:p>
            <w:pPr>
              <w:spacing w:before="0" w:line="280" w:lineRule="atLeast"/>
              <w:jc w:val="center"/>
              <w:rPr>
                <w:rFonts w:ascii="New York" w:hAnsi="New York"/>
              </w:rPr>
            </w:pPr>
            <w:r>
              <w:rPr>
                <w:rFonts w:hint="eastAsia" w:ascii="New York" w:hAnsi="New York"/>
                <w:lang w:bidi="ar"/>
              </w:rPr>
              <w:t>16.15%</w:t>
            </w:r>
          </w:p>
        </w:tc>
        <w:tc>
          <w:tcPr>
            <w:tcW w:w="2514" w:type="dxa"/>
            <w:vAlign w:val="center"/>
          </w:tcPr>
          <w:p>
            <w:pPr>
              <w:spacing w:before="0" w:line="280" w:lineRule="atLeast"/>
              <w:jc w:val="center"/>
              <w:rPr>
                <w:rFonts w:ascii="New York" w:hAnsi="New York"/>
              </w:rPr>
            </w:pPr>
            <w:r>
              <w:rPr>
                <w:rFonts w:hint="eastAsia" w:ascii="New York" w:hAnsi="New York"/>
                <w:lang w:bidi="ar"/>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4</w:t>
            </w:r>
          </w:p>
        </w:tc>
        <w:tc>
          <w:tcPr>
            <w:tcW w:w="2184" w:type="dxa"/>
            <w:vAlign w:val="center"/>
          </w:tcPr>
          <w:p>
            <w:pPr>
              <w:spacing w:before="0" w:line="280" w:lineRule="atLeast"/>
              <w:jc w:val="center"/>
              <w:rPr>
                <w:rFonts w:ascii="New York" w:hAnsi="New York"/>
              </w:rPr>
            </w:pPr>
            <w:r>
              <w:rPr>
                <w:rFonts w:hint="eastAsia" w:ascii="New York" w:hAnsi="New York"/>
                <w:lang w:bidi="ar"/>
              </w:rPr>
              <w:t>8.12%</w:t>
            </w:r>
          </w:p>
        </w:tc>
        <w:tc>
          <w:tcPr>
            <w:tcW w:w="2409" w:type="dxa"/>
            <w:vAlign w:val="center"/>
          </w:tcPr>
          <w:p>
            <w:pPr>
              <w:spacing w:before="0" w:line="280" w:lineRule="atLeast"/>
              <w:jc w:val="center"/>
              <w:rPr>
                <w:rFonts w:ascii="New York" w:hAnsi="New York"/>
              </w:rPr>
            </w:pPr>
            <w:r>
              <w:rPr>
                <w:rFonts w:hint="eastAsia" w:ascii="New York" w:hAnsi="New York"/>
                <w:lang w:bidi="ar"/>
              </w:rPr>
              <w:t>15.82%</w:t>
            </w:r>
          </w:p>
        </w:tc>
        <w:tc>
          <w:tcPr>
            <w:tcW w:w="2514" w:type="dxa"/>
            <w:vAlign w:val="center"/>
          </w:tcPr>
          <w:p>
            <w:pPr>
              <w:spacing w:before="0" w:line="280" w:lineRule="atLeast"/>
              <w:jc w:val="center"/>
              <w:rPr>
                <w:rFonts w:ascii="New York" w:hAnsi="New York"/>
              </w:rPr>
            </w:pPr>
            <w:r>
              <w:rPr>
                <w:rFonts w:hint="eastAsia" w:ascii="New York" w:hAnsi="New York"/>
                <w:lang w:bidi="ar"/>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5</w:t>
            </w:r>
          </w:p>
        </w:tc>
        <w:tc>
          <w:tcPr>
            <w:tcW w:w="2184" w:type="dxa"/>
            <w:vAlign w:val="center"/>
          </w:tcPr>
          <w:p>
            <w:pPr>
              <w:spacing w:before="0" w:line="280" w:lineRule="atLeast"/>
              <w:jc w:val="center"/>
              <w:rPr>
                <w:rFonts w:ascii="New York" w:hAnsi="New York"/>
              </w:rPr>
            </w:pPr>
            <w:r>
              <w:rPr>
                <w:rFonts w:hint="eastAsia" w:ascii="New York" w:hAnsi="New York"/>
                <w:lang w:bidi="ar"/>
              </w:rPr>
              <w:t>7.21%</w:t>
            </w:r>
          </w:p>
        </w:tc>
        <w:tc>
          <w:tcPr>
            <w:tcW w:w="2409" w:type="dxa"/>
            <w:vAlign w:val="center"/>
          </w:tcPr>
          <w:p>
            <w:pPr>
              <w:spacing w:before="0" w:line="280" w:lineRule="atLeast"/>
              <w:jc w:val="center"/>
              <w:rPr>
                <w:rFonts w:ascii="New York" w:hAnsi="New York"/>
              </w:rPr>
            </w:pPr>
            <w:r>
              <w:rPr>
                <w:rFonts w:hint="eastAsia" w:ascii="New York" w:hAnsi="New York"/>
                <w:lang w:bidi="ar"/>
              </w:rPr>
              <w:t>15.58%</w:t>
            </w:r>
          </w:p>
        </w:tc>
        <w:tc>
          <w:tcPr>
            <w:tcW w:w="2514" w:type="dxa"/>
            <w:vAlign w:val="center"/>
          </w:tcPr>
          <w:p>
            <w:pPr>
              <w:spacing w:before="0" w:line="280" w:lineRule="atLeast"/>
              <w:jc w:val="center"/>
              <w:rPr>
                <w:rFonts w:ascii="New York" w:hAnsi="New York"/>
              </w:rPr>
            </w:pPr>
            <w:r>
              <w:rPr>
                <w:rFonts w:hint="eastAsia" w:ascii="New York" w:hAnsi="New York"/>
                <w:lang w:bidi="ar"/>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6</w:t>
            </w:r>
          </w:p>
        </w:tc>
        <w:tc>
          <w:tcPr>
            <w:tcW w:w="2184" w:type="dxa"/>
            <w:vAlign w:val="center"/>
          </w:tcPr>
          <w:p>
            <w:pPr>
              <w:spacing w:before="0" w:line="280" w:lineRule="atLeast"/>
              <w:jc w:val="center"/>
              <w:rPr>
                <w:rFonts w:ascii="New York" w:hAnsi="New York"/>
              </w:rPr>
            </w:pPr>
            <w:r>
              <w:rPr>
                <w:rFonts w:hint="eastAsia" w:ascii="New York" w:hAnsi="New York"/>
                <w:lang w:bidi="ar"/>
              </w:rPr>
              <w:t>6.54%</w:t>
            </w:r>
          </w:p>
        </w:tc>
        <w:tc>
          <w:tcPr>
            <w:tcW w:w="2409" w:type="dxa"/>
            <w:vAlign w:val="center"/>
          </w:tcPr>
          <w:p>
            <w:pPr>
              <w:spacing w:before="0" w:line="280" w:lineRule="atLeast"/>
              <w:jc w:val="center"/>
              <w:rPr>
                <w:rFonts w:ascii="New York" w:hAnsi="New York"/>
              </w:rPr>
            </w:pPr>
            <w:r>
              <w:rPr>
                <w:rFonts w:hint="eastAsia" w:ascii="New York" w:hAnsi="New York"/>
                <w:lang w:bidi="ar"/>
              </w:rPr>
              <w:t>15.26%</w:t>
            </w:r>
          </w:p>
        </w:tc>
        <w:tc>
          <w:tcPr>
            <w:tcW w:w="2514" w:type="dxa"/>
            <w:vAlign w:val="center"/>
          </w:tcPr>
          <w:p>
            <w:pPr>
              <w:spacing w:before="0" w:line="280" w:lineRule="atLeast"/>
              <w:jc w:val="center"/>
              <w:rPr>
                <w:rFonts w:ascii="New York" w:hAnsi="New York"/>
              </w:rPr>
            </w:pPr>
            <w:r>
              <w:rPr>
                <w:rFonts w:hint="eastAsia" w:ascii="New York" w:hAnsi="New York"/>
                <w:lang w:bidi="ar"/>
              </w:rPr>
              <w:t>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7</w:t>
            </w:r>
          </w:p>
        </w:tc>
        <w:tc>
          <w:tcPr>
            <w:tcW w:w="2184" w:type="dxa"/>
            <w:vAlign w:val="center"/>
          </w:tcPr>
          <w:p>
            <w:pPr>
              <w:spacing w:before="0" w:line="280" w:lineRule="atLeast"/>
              <w:jc w:val="center"/>
              <w:rPr>
                <w:rFonts w:ascii="New York" w:hAnsi="New York"/>
              </w:rPr>
            </w:pPr>
            <w:r>
              <w:rPr>
                <w:rFonts w:hint="eastAsia" w:ascii="New York" w:hAnsi="New York"/>
                <w:lang w:bidi="ar"/>
              </w:rPr>
              <w:t>5.96%</w:t>
            </w:r>
          </w:p>
        </w:tc>
        <w:tc>
          <w:tcPr>
            <w:tcW w:w="2409" w:type="dxa"/>
            <w:vAlign w:val="center"/>
          </w:tcPr>
          <w:p>
            <w:pPr>
              <w:spacing w:before="0" w:line="280" w:lineRule="atLeast"/>
              <w:jc w:val="center"/>
              <w:rPr>
                <w:rFonts w:ascii="New York" w:hAnsi="New York"/>
              </w:rPr>
            </w:pPr>
            <w:r>
              <w:rPr>
                <w:rFonts w:hint="eastAsia" w:ascii="New York" w:hAnsi="New York"/>
                <w:lang w:bidi="ar"/>
              </w:rPr>
              <w:t>14.97%</w:t>
            </w:r>
          </w:p>
        </w:tc>
        <w:tc>
          <w:tcPr>
            <w:tcW w:w="2514" w:type="dxa"/>
            <w:vAlign w:val="center"/>
          </w:tcPr>
          <w:p>
            <w:pPr>
              <w:spacing w:before="0" w:line="280" w:lineRule="atLeast"/>
              <w:jc w:val="center"/>
              <w:rPr>
                <w:rFonts w:ascii="New York" w:hAnsi="New York"/>
              </w:rPr>
            </w:pPr>
            <w:r>
              <w:rPr>
                <w:rFonts w:hint="eastAsia" w:ascii="New York" w:hAnsi="New York"/>
                <w:lang w:bidi="ar"/>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8</w:t>
            </w:r>
          </w:p>
        </w:tc>
        <w:tc>
          <w:tcPr>
            <w:tcW w:w="2184" w:type="dxa"/>
            <w:vAlign w:val="center"/>
          </w:tcPr>
          <w:p>
            <w:pPr>
              <w:spacing w:before="0" w:line="280" w:lineRule="atLeast"/>
              <w:jc w:val="center"/>
              <w:rPr>
                <w:rFonts w:ascii="New York" w:hAnsi="New York"/>
              </w:rPr>
            </w:pPr>
            <w:r>
              <w:rPr>
                <w:rFonts w:hint="eastAsia" w:ascii="New York" w:hAnsi="New York"/>
                <w:lang w:bidi="ar"/>
              </w:rPr>
              <w:t>5.51%</w:t>
            </w:r>
          </w:p>
        </w:tc>
        <w:tc>
          <w:tcPr>
            <w:tcW w:w="2409" w:type="dxa"/>
            <w:vAlign w:val="center"/>
          </w:tcPr>
          <w:p>
            <w:pPr>
              <w:spacing w:before="0" w:line="280" w:lineRule="atLeast"/>
              <w:jc w:val="center"/>
              <w:rPr>
                <w:rFonts w:ascii="New York" w:hAnsi="New York"/>
              </w:rPr>
            </w:pPr>
            <w:r>
              <w:rPr>
                <w:rFonts w:hint="eastAsia" w:ascii="New York" w:hAnsi="New York"/>
                <w:lang w:bidi="ar"/>
              </w:rPr>
              <w:t>14.63%</w:t>
            </w:r>
          </w:p>
        </w:tc>
        <w:tc>
          <w:tcPr>
            <w:tcW w:w="2514" w:type="dxa"/>
            <w:vAlign w:val="center"/>
          </w:tcPr>
          <w:p>
            <w:pPr>
              <w:spacing w:before="0" w:line="280" w:lineRule="atLeast"/>
              <w:jc w:val="center"/>
              <w:rPr>
                <w:rFonts w:ascii="New York" w:hAnsi="New York"/>
              </w:rPr>
            </w:pPr>
            <w:r>
              <w:rPr>
                <w:rFonts w:hint="eastAsia" w:ascii="New York" w:hAnsi="New York"/>
                <w:lang w:bidi="ar"/>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9</w:t>
            </w:r>
          </w:p>
        </w:tc>
        <w:tc>
          <w:tcPr>
            <w:tcW w:w="2184" w:type="dxa"/>
            <w:vAlign w:val="center"/>
          </w:tcPr>
          <w:p>
            <w:pPr>
              <w:spacing w:before="0" w:line="280" w:lineRule="atLeast"/>
              <w:jc w:val="center"/>
              <w:rPr>
                <w:rFonts w:ascii="New York" w:hAnsi="New York"/>
              </w:rPr>
            </w:pPr>
            <w:r>
              <w:rPr>
                <w:rFonts w:hint="eastAsia" w:ascii="New York" w:hAnsi="New York"/>
                <w:lang w:bidi="ar"/>
              </w:rPr>
              <w:t>5.06%</w:t>
            </w:r>
          </w:p>
        </w:tc>
        <w:tc>
          <w:tcPr>
            <w:tcW w:w="2409" w:type="dxa"/>
            <w:vAlign w:val="center"/>
          </w:tcPr>
          <w:p>
            <w:pPr>
              <w:spacing w:before="0" w:line="280" w:lineRule="atLeast"/>
              <w:jc w:val="center"/>
              <w:rPr>
                <w:rFonts w:ascii="New York" w:hAnsi="New York"/>
              </w:rPr>
            </w:pPr>
            <w:r>
              <w:rPr>
                <w:rFonts w:hint="eastAsia" w:ascii="New York" w:hAnsi="New York"/>
                <w:lang w:bidi="ar"/>
              </w:rPr>
              <w:t>14.23%</w:t>
            </w:r>
          </w:p>
        </w:tc>
        <w:tc>
          <w:tcPr>
            <w:tcW w:w="2514" w:type="dxa"/>
            <w:vAlign w:val="center"/>
          </w:tcPr>
          <w:p>
            <w:pPr>
              <w:spacing w:before="0" w:line="280" w:lineRule="atLeast"/>
              <w:jc w:val="center"/>
              <w:rPr>
                <w:rFonts w:ascii="New York" w:hAnsi="New York"/>
              </w:rPr>
            </w:pPr>
            <w:r>
              <w:rPr>
                <w:rFonts w:hint="eastAsia" w:ascii="New York" w:hAnsi="New York"/>
                <w:lang w:bidi="ar"/>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10</w:t>
            </w:r>
          </w:p>
        </w:tc>
        <w:tc>
          <w:tcPr>
            <w:tcW w:w="2184" w:type="dxa"/>
            <w:vAlign w:val="center"/>
          </w:tcPr>
          <w:p>
            <w:pPr>
              <w:spacing w:before="0" w:line="280" w:lineRule="atLeast"/>
              <w:jc w:val="center"/>
              <w:rPr>
                <w:rFonts w:ascii="New York" w:hAnsi="New York"/>
              </w:rPr>
            </w:pPr>
            <w:r>
              <w:rPr>
                <w:rFonts w:hint="eastAsia" w:ascii="New York" w:hAnsi="New York"/>
                <w:lang w:bidi="ar"/>
              </w:rPr>
              <w:t>4.70%</w:t>
            </w:r>
          </w:p>
        </w:tc>
        <w:tc>
          <w:tcPr>
            <w:tcW w:w="2409" w:type="dxa"/>
            <w:vAlign w:val="center"/>
          </w:tcPr>
          <w:p>
            <w:pPr>
              <w:spacing w:before="0" w:line="280" w:lineRule="atLeast"/>
              <w:jc w:val="center"/>
              <w:rPr>
                <w:rFonts w:ascii="New York" w:hAnsi="New York"/>
              </w:rPr>
            </w:pPr>
            <w:r>
              <w:rPr>
                <w:rFonts w:hint="eastAsia" w:ascii="New York" w:hAnsi="New York"/>
                <w:lang w:bidi="ar"/>
              </w:rPr>
              <w:t>13.85%</w:t>
            </w:r>
          </w:p>
        </w:tc>
        <w:tc>
          <w:tcPr>
            <w:tcW w:w="2514" w:type="dxa"/>
            <w:vAlign w:val="center"/>
          </w:tcPr>
          <w:p>
            <w:pPr>
              <w:spacing w:before="0" w:line="280" w:lineRule="atLeast"/>
              <w:jc w:val="center"/>
              <w:rPr>
                <w:rFonts w:ascii="New York" w:hAnsi="New York"/>
              </w:rPr>
            </w:pPr>
            <w:r>
              <w:rPr>
                <w:rFonts w:hint="eastAsia" w:ascii="New York" w:hAnsi="New York"/>
                <w:lang w:bidi="ar"/>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11</w:t>
            </w:r>
          </w:p>
        </w:tc>
        <w:tc>
          <w:tcPr>
            <w:tcW w:w="2184" w:type="dxa"/>
            <w:vAlign w:val="center"/>
          </w:tcPr>
          <w:p>
            <w:pPr>
              <w:spacing w:before="0" w:line="280" w:lineRule="atLeast"/>
              <w:jc w:val="center"/>
              <w:rPr>
                <w:rFonts w:ascii="New York" w:hAnsi="New York"/>
              </w:rPr>
            </w:pPr>
            <w:r>
              <w:rPr>
                <w:rFonts w:hint="eastAsia" w:ascii="New York" w:hAnsi="New York"/>
                <w:lang w:bidi="ar"/>
              </w:rPr>
              <w:t>4.36%</w:t>
            </w:r>
          </w:p>
        </w:tc>
        <w:tc>
          <w:tcPr>
            <w:tcW w:w="2409" w:type="dxa"/>
            <w:vAlign w:val="center"/>
          </w:tcPr>
          <w:p>
            <w:pPr>
              <w:spacing w:before="0" w:line="280" w:lineRule="atLeast"/>
              <w:jc w:val="center"/>
              <w:rPr>
                <w:rFonts w:ascii="New York" w:hAnsi="New York"/>
              </w:rPr>
            </w:pPr>
            <w:r>
              <w:rPr>
                <w:rFonts w:hint="eastAsia" w:ascii="New York" w:hAnsi="New York"/>
                <w:lang w:bidi="ar"/>
              </w:rPr>
              <w:t>13.49%</w:t>
            </w:r>
          </w:p>
        </w:tc>
        <w:tc>
          <w:tcPr>
            <w:tcW w:w="2514" w:type="dxa"/>
            <w:vAlign w:val="center"/>
          </w:tcPr>
          <w:p>
            <w:pPr>
              <w:spacing w:before="0" w:line="280" w:lineRule="atLeast"/>
              <w:jc w:val="center"/>
              <w:rPr>
                <w:rFonts w:ascii="New York" w:hAnsi="New York"/>
              </w:rPr>
            </w:pPr>
            <w:r>
              <w:rPr>
                <w:rFonts w:hint="eastAsia" w:ascii="New York" w:hAnsi="New York"/>
                <w:lang w:bidi="ar"/>
              </w:rPr>
              <w:t>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12</w:t>
            </w:r>
          </w:p>
        </w:tc>
        <w:tc>
          <w:tcPr>
            <w:tcW w:w="2184" w:type="dxa"/>
            <w:vAlign w:val="center"/>
          </w:tcPr>
          <w:p>
            <w:pPr>
              <w:spacing w:before="0" w:line="280" w:lineRule="atLeast"/>
              <w:jc w:val="center"/>
              <w:rPr>
                <w:rFonts w:ascii="New York" w:hAnsi="New York"/>
              </w:rPr>
            </w:pPr>
            <w:r>
              <w:rPr>
                <w:rFonts w:hint="eastAsia" w:ascii="New York" w:hAnsi="New York"/>
                <w:lang w:bidi="ar"/>
              </w:rPr>
              <w:t>4.05%</w:t>
            </w:r>
          </w:p>
        </w:tc>
        <w:tc>
          <w:tcPr>
            <w:tcW w:w="2409" w:type="dxa"/>
            <w:vAlign w:val="center"/>
          </w:tcPr>
          <w:p>
            <w:pPr>
              <w:spacing w:before="0" w:line="280" w:lineRule="atLeast"/>
              <w:jc w:val="center"/>
              <w:rPr>
                <w:rFonts w:ascii="New York" w:hAnsi="New York"/>
              </w:rPr>
            </w:pPr>
            <w:r>
              <w:rPr>
                <w:rFonts w:hint="eastAsia" w:ascii="New York" w:hAnsi="New York"/>
                <w:lang w:bidi="ar"/>
              </w:rPr>
              <w:t>13.10%</w:t>
            </w:r>
          </w:p>
        </w:tc>
        <w:tc>
          <w:tcPr>
            <w:tcW w:w="2514" w:type="dxa"/>
            <w:vAlign w:val="center"/>
          </w:tcPr>
          <w:p>
            <w:pPr>
              <w:spacing w:before="0" w:line="280" w:lineRule="atLeast"/>
              <w:jc w:val="center"/>
              <w:rPr>
                <w:rFonts w:ascii="New York" w:hAnsi="New York"/>
              </w:rPr>
            </w:pPr>
            <w:r>
              <w:rPr>
                <w:rFonts w:hint="eastAsia" w:ascii="New York" w:hAnsi="New York"/>
                <w:lang w:bidi="ar"/>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13</w:t>
            </w:r>
          </w:p>
        </w:tc>
        <w:tc>
          <w:tcPr>
            <w:tcW w:w="2184" w:type="dxa"/>
            <w:vAlign w:val="center"/>
          </w:tcPr>
          <w:p>
            <w:pPr>
              <w:spacing w:before="0" w:line="280" w:lineRule="atLeast"/>
              <w:jc w:val="center"/>
              <w:rPr>
                <w:rFonts w:ascii="New York" w:hAnsi="New York"/>
              </w:rPr>
            </w:pPr>
            <w:r>
              <w:rPr>
                <w:rFonts w:hint="eastAsia" w:ascii="New York" w:hAnsi="New York"/>
                <w:lang w:bidi="ar"/>
              </w:rPr>
              <w:t>3.82%</w:t>
            </w:r>
          </w:p>
        </w:tc>
        <w:tc>
          <w:tcPr>
            <w:tcW w:w="2409" w:type="dxa"/>
            <w:vAlign w:val="center"/>
          </w:tcPr>
          <w:p>
            <w:pPr>
              <w:spacing w:before="0" w:line="280" w:lineRule="atLeast"/>
              <w:jc w:val="center"/>
              <w:rPr>
                <w:rFonts w:ascii="New York" w:hAnsi="New York"/>
              </w:rPr>
            </w:pPr>
            <w:r>
              <w:rPr>
                <w:rFonts w:hint="eastAsia" w:ascii="New York" w:hAnsi="New York"/>
                <w:lang w:bidi="ar"/>
              </w:rPr>
              <w:t>12.74%</w:t>
            </w:r>
          </w:p>
        </w:tc>
        <w:tc>
          <w:tcPr>
            <w:tcW w:w="2514" w:type="dxa"/>
            <w:vAlign w:val="center"/>
          </w:tcPr>
          <w:p>
            <w:pPr>
              <w:spacing w:before="0" w:line="280" w:lineRule="atLeast"/>
              <w:jc w:val="center"/>
              <w:rPr>
                <w:rFonts w:ascii="New York" w:hAnsi="New York"/>
              </w:rPr>
            </w:pPr>
            <w:r>
              <w:rPr>
                <w:rFonts w:hint="eastAsia" w:ascii="New York" w:hAnsi="New York"/>
                <w:lang w:bidi="ar"/>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14</w:t>
            </w:r>
          </w:p>
        </w:tc>
        <w:tc>
          <w:tcPr>
            <w:tcW w:w="2184" w:type="dxa"/>
            <w:vAlign w:val="center"/>
          </w:tcPr>
          <w:p>
            <w:pPr>
              <w:spacing w:before="0" w:line="280" w:lineRule="atLeast"/>
              <w:jc w:val="center"/>
              <w:rPr>
                <w:rFonts w:ascii="New York" w:hAnsi="New York"/>
              </w:rPr>
            </w:pPr>
            <w:r>
              <w:rPr>
                <w:rFonts w:hint="eastAsia" w:ascii="New York" w:hAnsi="New York"/>
                <w:lang w:bidi="ar"/>
              </w:rPr>
              <w:t>3.58%</w:t>
            </w:r>
          </w:p>
        </w:tc>
        <w:tc>
          <w:tcPr>
            <w:tcW w:w="2409" w:type="dxa"/>
            <w:vAlign w:val="center"/>
          </w:tcPr>
          <w:p>
            <w:pPr>
              <w:spacing w:before="0" w:line="280" w:lineRule="atLeast"/>
              <w:jc w:val="center"/>
              <w:rPr>
                <w:rFonts w:ascii="New York" w:hAnsi="New York"/>
              </w:rPr>
            </w:pPr>
            <w:r>
              <w:rPr>
                <w:rFonts w:hint="eastAsia" w:ascii="New York" w:hAnsi="New York"/>
                <w:lang w:bidi="ar"/>
              </w:rPr>
              <w:t>12.43%</w:t>
            </w:r>
          </w:p>
        </w:tc>
        <w:tc>
          <w:tcPr>
            <w:tcW w:w="2514" w:type="dxa"/>
            <w:vAlign w:val="center"/>
          </w:tcPr>
          <w:p>
            <w:pPr>
              <w:spacing w:before="0" w:line="280" w:lineRule="atLeast"/>
              <w:jc w:val="center"/>
              <w:rPr>
                <w:rFonts w:ascii="New York" w:hAnsi="New York"/>
              </w:rPr>
            </w:pPr>
            <w:r>
              <w:rPr>
                <w:rFonts w:hint="eastAsia" w:ascii="New York" w:hAnsi="New York"/>
                <w:lang w:bidi="ar"/>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15</w:t>
            </w:r>
          </w:p>
        </w:tc>
        <w:tc>
          <w:tcPr>
            <w:tcW w:w="2184" w:type="dxa"/>
            <w:vAlign w:val="center"/>
          </w:tcPr>
          <w:p>
            <w:pPr>
              <w:spacing w:before="0" w:line="280" w:lineRule="atLeast"/>
              <w:jc w:val="center"/>
              <w:rPr>
                <w:rFonts w:ascii="New York" w:hAnsi="New York"/>
              </w:rPr>
            </w:pPr>
            <w:r>
              <w:rPr>
                <w:rFonts w:hint="eastAsia" w:ascii="New York" w:hAnsi="New York"/>
                <w:lang w:bidi="ar"/>
              </w:rPr>
              <w:t>3.35%</w:t>
            </w:r>
          </w:p>
        </w:tc>
        <w:tc>
          <w:tcPr>
            <w:tcW w:w="2409" w:type="dxa"/>
            <w:vAlign w:val="center"/>
          </w:tcPr>
          <w:p>
            <w:pPr>
              <w:spacing w:before="0" w:line="280" w:lineRule="atLeast"/>
              <w:jc w:val="center"/>
              <w:rPr>
                <w:rFonts w:ascii="New York" w:hAnsi="New York"/>
              </w:rPr>
            </w:pPr>
            <w:r>
              <w:rPr>
                <w:rFonts w:hint="eastAsia" w:ascii="New York" w:hAnsi="New York"/>
                <w:lang w:bidi="ar"/>
              </w:rPr>
              <w:t>12.07%</w:t>
            </w:r>
          </w:p>
        </w:tc>
        <w:tc>
          <w:tcPr>
            <w:tcW w:w="2514" w:type="dxa"/>
            <w:vAlign w:val="center"/>
          </w:tcPr>
          <w:p>
            <w:pPr>
              <w:spacing w:before="0" w:line="280" w:lineRule="atLeast"/>
              <w:jc w:val="center"/>
              <w:rPr>
                <w:rFonts w:ascii="New York" w:hAnsi="New York"/>
              </w:rPr>
            </w:pPr>
            <w:r>
              <w:rPr>
                <w:rFonts w:hint="eastAsia" w:ascii="New York" w:hAnsi="New York"/>
                <w:lang w:bidi="ar"/>
              </w:rPr>
              <w:t>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16</w:t>
            </w:r>
          </w:p>
        </w:tc>
        <w:tc>
          <w:tcPr>
            <w:tcW w:w="2184" w:type="dxa"/>
            <w:vAlign w:val="center"/>
          </w:tcPr>
          <w:p>
            <w:pPr>
              <w:spacing w:before="0" w:line="280" w:lineRule="atLeast"/>
              <w:jc w:val="center"/>
              <w:rPr>
                <w:rFonts w:ascii="New York" w:hAnsi="New York"/>
              </w:rPr>
            </w:pPr>
            <w:r>
              <w:rPr>
                <w:rFonts w:hint="eastAsia" w:ascii="New York" w:hAnsi="New York"/>
                <w:lang w:bidi="ar"/>
              </w:rPr>
              <w:t>3.18%</w:t>
            </w:r>
          </w:p>
        </w:tc>
        <w:tc>
          <w:tcPr>
            <w:tcW w:w="2409" w:type="dxa"/>
            <w:vAlign w:val="center"/>
          </w:tcPr>
          <w:p>
            <w:pPr>
              <w:spacing w:before="0" w:line="280" w:lineRule="atLeast"/>
              <w:jc w:val="center"/>
              <w:rPr>
                <w:rFonts w:ascii="New York" w:hAnsi="New York"/>
              </w:rPr>
            </w:pPr>
            <w:r>
              <w:rPr>
                <w:rFonts w:hint="eastAsia" w:ascii="New York" w:hAnsi="New York"/>
                <w:lang w:bidi="ar"/>
              </w:rPr>
              <w:t>11.75%</w:t>
            </w:r>
          </w:p>
        </w:tc>
        <w:tc>
          <w:tcPr>
            <w:tcW w:w="2514" w:type="dxa"/>
            <w:vAlign w:val="center"/>
          </w:tcPr>
          <w:p>
            <w:pPr>
              <w:spacing w:before="0" w:line="280" w:lineRule="atLeast"/>
              <w:jc w:val="center"/>
              <w:rPr>
                <w:rFonts w:ascii="New York" w:hAnsi="New York"/>
              </w:rPr>
            </w:pPr>
            <w:r>
              <w:rPr>
                <w:rFonts w:hint="eastAsia" w:ascii="New York" w:hAnsi="New York"/>
                <w:lang w:bidi="ar"/>
              </w:rP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17</w:t>
            </w:r>
          </w:p>
        </w:tc>
        <w:tc>
          <w:tcPr>
            <w:tcW w:w="2184" w:type="dxa"/>
            <w:vAlign w:val="center"/>
          </w:tcPr>
          <w:p>
            <w:pPr>
              <w:spacing w:before="0" w:line="280" w:lineRule="atLeast"/>
              <w:jc w:val="center"/>
              <w:rPr>
                <w:rFonts w:ascii="New York" w:hAnsi="New York"/>
              </w:rPr>
            </w:pPr>
            <w:r>
              <w:rPr>
                <w:rFonts w:hint="eastAsia" w:ascii="New York" w:hAnsi="New York"/>
                <w:lang w:bidi="ar"/>
              </w:rPr>
              <w:t>3.02%</w:t>
            </w:r>
          </w:p>
        </w:tc>
        <w:tc>
          <w:tcPr>
            <w:tcW w:w="2409" w:type="dxa"/>
            <w:vAlign w:val="center"/>
          </w:tcPr>
          <w:p>
            <w:pPr>
              <w:spacing w:before="0" w:line="280" w:lineRule="atLeast"/>
              <w:jc w:val="center"/>
              <w:rPr>
                <w:rFonts w:ascii="New York" w:hAnsi="New York"/>
              </w:rPr>
            </w:pPr>
            <w:r>
              <w:rPr>
                <w:rFonts w:hint="eastAsia" w:ascii="New York" w:hAnsi="New York"/>
                <w:lang w:bidi="ar"/>
              </w:rPr>
              <w:t>11.46%</w:t>
            </w:r>
          </w:p>
        </w:tc>
        <w:tc>
          <w:tcPr>
            <w:tcW w:w="2514" w:type="dxa"/>
            <w:vAlign w:val="center"/>
          </w:tcPr>
          <w:p>
            <w:pPr>
              <w:spacing w:before="0" w:line="280" w:lineRule="atLeast"/>
              <w:jc w:val="center"/>
              <w:rPr>
                <w:rFonts w:ascii="New York" w:hAnsi="New York"/>
              </w:rPr>
            </w:pPr>
            <w:r>
              <w:rPr>
                <w:rFonts w:hint="eastAsia" w:ascii="New York" w:hAnsi="New York"/>
                <w:lang w:bidi="ar"/>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18</w:t>
            </w:r>
          </w:p>
        </w:tc>
        <w:tc>
          <w:tcPr>
            <w:tcW w:w="2184" w:type="dxa"/>
            <w:vAlign w:val="center"/>
          </w:tcPr>
          <w:p>
            <w:pPr>
              <w:spacing w:before="0" w:line="280" w:lineRule="atLeast"/>
              <w:jc w:val="center"/>
              <w:rPr>
                <w:rFonts w:ascii="New York" w:hAnsi="New York"/>
              </w:rPr>
            </w:pPr>
            <w:r>
              <w:rPr>
                <w:rFonts w:hint="eastAsia" w:ascii="New York" w:hAnsi="New York"/>
                <w:lang w:bidi="ar"/>
              </w:rPr>
              <w:t>2.86%</w:t>
            </w:r>
          </w:p>
        </w:tc>
        <w:tc>
          <w:tcPr>
            <w:tcW w:w="2409" w:type="dxa"/>
            <w:vAlign w:val="center"/>
          </w:tcPr>
          <w:p>
            <w:pPr>
              <w:spacing w:before="0" w:line="280" w:lineRule="atLeast"/>
              <w:jc w:val="center"/>
              <w:rPr>
                <w:rFonts w:ascii="New York" w:hAnsi="New York"/>
              </w:rPr>
            </w:pPr>
            <w:r>
              <w:rPr>
                <w:rFonts w:hint="eastAsia" w:ascii="New York" w:hAnsi="New York"/>
                <w:lang w:bidi="ar"/>
              </w:rPr>
              <w:t>11.15%</w:t>
            </w:r>
          </w:p>
        </w:tc>
        <w:tc>
          <w:tcPr>
            <w:tcW w:w="2514" w:type="dxa"/>
            <w:vAlign w:val="center"/>
          </w:tcPr>
          <w:p>
            <w:pPr>
              <w:spacing w:before="0" w:line="280" w:lineRule="atLeast"/>
              <w:jc w:val="center"/>
              <w:rPr>
                <w:rFonts w:ascii="New York" w:hAnsi="New York"/>
              </w:rPr>
            </w:pPr>
            <w:r>
              <w:rPr>
                <w:rFonts w:hint="eastAsia" w:ascii="New York" w:hAnsi="New York"/>
                <w:lang w:bidi="ar"/>
              </w:rPr>
              <w:t>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19</w:t>
            </w:r>
          </w:p>
        </w:tc>
        <w:tc>
          <w:tcPr>
            <w:tcW w:w="2184" w:type="dxa"/>
            <w:vAlign w:val="center"/>
          </w:tcPr>
          <w:p>
            <w:pPr>
              <w:spacing w:before="0" w:line="280" w:lineRule="atLeast"/>
              <w:jc w:val="center"/>
              <w:rPr>
                <w:rFonts w:ascii="New York" w:hAnsi="New York"/>
              </w:rPr>
            </w:pPr>
            <w:r>
              <w:rPr>
                <w:rFonts w:hint="eastAsia" w:ascii="New York" w:hAnsi="New York"/>
                <w:lang w:bidi="ar"/>
              </w:rPr>
              <w:t>2.72%</w:t>
            </w:r>
          </w:p>
        </w:tc>
        <w:tc>
          <w:tcPr>
            <w:tcW w:w="2409" w:type="dxa"/>
            <w:vAlign w:val="center"/>
          </w:tcPr>
          <w:p>
            <w:pPr>
              <w:spacing w:before="0" w:line="280" w:lineRule="atLeast"/>
              <w:jc w:val="center"/>
              <w:rPr>
                <w:rFonts w:ascii="New York" w:hAnsi="New York"/>
              </w:rPr>
            </w:pPr>
            <w:r>
              <w:rPr>
                <w:rFonts w:hint="eastAsia" w:ascii="New York" w:hAnsi="New York"/>
                <w:lang w:bidi="ar"/>
              </w:rPr>
              <w:t>10.86%</w:t>
            </w:r>
          </w:p>
        </w:tc>
        <w:tc>
          <w:tcPr>
            <w:tcW w:w="2514" w:type="dxa"/>
            <w:vAlign w:val="center"/>
          </w:tcPr>
          <w:p>
            <w:pPr>
              <w:spacing w:before="0" w:line="280" w:lineRule="atLeast"/>
              <w:jc w:val="center"/>
              <w:rPr>
                <w:rFonts w:ascii="New York" w:hAnsi="New York"/>
              </w:rPr>
            </w:pPr>
            <w:r>
              <w:rPr>
                <w:rFonts w:hint="eastAsia" w:ascii="New York" w:hAnsi="New York"/>
                <w:lang w:bidi="ar"/>
              </w:rPr>
              <w:t>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0" w:line="280" w:lineRule="atLeast"/>
              <w:jc w:val="center"/>
              <w:rPr>
                <w:rFonts w:ascii="New York" w:hAnsi="New York"/>
              </w:rPr>
            </w:pPr>
            <w:r>
              <w:rPr>
                <w:rFonts w:hint="eastAsia" w:ascii="New York" w:hAnsi="New York"/>
              </w:rPr>
              <w:t>20</w:t>
            </w:r>
          </w:p>
        </w:tc>
        <w:tc>
          <w:tcPr>
            <w:tcW w:w="2184" w:type="dxa"/>
            <w:vAlign w:val="center"/>
          </w:tcPr>
          <w:p>
            <w:pPr>
              <w:spacing w:before="0" w:line="280" w:lineRule="atLeast"/>
              <w:jc w:val="center"/>
              <w:rPr>
                <w:rFonts w:ascii="New York" w:hAnsi="New York"/>
              </w:rPr>
            </w:pPr>
            <w:r>
              <w:rPr>
                <w:rFonts w:hint="eastAsia" w:ascii="New York" w:hAnsi="New York"/>
                <w:lang w:bidi="ar"/>
              </w:rPr>
              <w:t>2.60%</w:t>
            </w:r>
          </w:p>
        </w:tc>
        <w:tc>
          <w:tcPr>
            <w:tcW w:w="2409" w:type="dxa"/>
            <w:vAlign w:val="center"/>
          </w:tcPr>
          <w:p>
            <w:pPr>
              <w:spacing w:before="0" w:line="280" w:lineRule="atLeast"/>
              <w:jc w:val="center"/>
              <w:rPr>
                <w:rFonts w:ascii="New York" w:hAnsi="New York"/>
              </w:rPr>
            </w:pPr>
            <w:r>
              <w:rPr>
                <w:rFonts w:hint="eastAsia" w:ascii="New York" w:hAnsi="New York"/>
                <w:lang w:bidi="ar"/>
              </w:rPr>
              <w:t>10.55%</w:t>
            </w:r>
          </w:p>
        </w:tc>
        <w:tc>
          <w:tcPr>
            <w:tcW w:w="2514" w:type="dxa"/>
            <w:vAlign w:val="center"/>
          </w:tcPr>
          <w:p>
            <w:pPr>
              <w:spacing w:before="0" w:line="280" w:lineRule="atLeast"/>
              <w:jc w:val="center"/>
              <w:rPr>
                <w:rFonts w:ascii="New York" w:hAnsi="New York"/>
              </w:rPr>
            </w:pPr>
            <w:r>
              <w:rPr>
                <w:rFonts w:hint="eastAsia" w:ascii="New York" w:hAnsi="New York"/>
                <w:lang w:bidi="ar"/>
              </w:rPr>
              <w:t>7.95%</w:t>
            </w:r>
          </w:p>
        </w:tc>
      </w:tr>
    </w:tbl>
    <w:p>
      <w:pPr>
        <w:spacing w:before="180" w:after="180"/>
      </w:pPr>
      <w:r>
        <w:rPr>
          <w:rFonts w:hint="eastAsia"/>
        </w:rPr>
        <w:t xml:space="preserve">According to the simulation results listed in Table 1, the gain of case 3 is </w:t>
      </w:r>
      <w:r>
        <w:rPr>
          <w:i w:val="0"/>
          <w:iCs/>
        </w:rPr>
        <w:t>5.6% ~ 9.1</w:t>
      </w:r>
      <w:r>
        <w:rPr>
          <w:rFonts w:hint="eastAsia"/>
        </w:rPr>
        <w:t xml:space="preserve">% higher than that of case 2, which proves that the system performance is improved after one-to-two uplink scheduling is </w:t>
      </w:r>
      <w:r>
        <w:t>introduced</w:t>
      </w:r>
      <w:r>
        <w:rPr>
          <w:rFonts w:hint="eastAsia"/>
        </w:rPr>
        <w:t xml:space="preserve">. In addition, the gain of case 3 is 10.55%~18.48% compared to that of baseline case. In scenarios </w:t>
      </w:r>
      <w:r>
        <w:rPr>
          <w:rFonts w:hint="eastAsia"/>
          <w:lang w:val="en-US" w:eastAsia="zh-CN"/>
        </w:rPr>
        <w:t>with</w:t>
      </w:r>
      <w:r>
        <w:rPr>
          <w:rFonts w:hint="eastAsia"/>
        </w:rPr>
        <w:t xml:space="preserve"> </w:t>
      </w:r>
      <w:r>
        <w:rPr>
          <w:rFonts w:hint="eastAsia"/>
          <w:lang w:val="en-US" w:eastAsia="zh-CN"/>
        </w:rPr>
        <w:t xml:space="preserve">heavy traffic on </w:t>
      </w:r>
      <w:r>
        <w:rPr>
          <w:rFonts w:hint="eastAsia"/>
        </w:rPr>
        <w:t xml:space="preserve">both uplink and downlink, bidirectional one-to-two scheduling can effectively reduce the blocking rate. </w:t>
      </w:r>
    </w:p>
    <w:p>
      <w:pPr>
        <w:snapToGrid w:val="0"/>
        <w:spacing w:before="120" w:beforeLines="50" w:after="120" w:afterLines="50"/>
        <w:rPr>
          <w:i/>
        </w:rPr>
      </w:pPr>
      <w:r>
        <w:rPr>
          <w:rFonts w:hint="eastAsia"/>
          <w:b/>
          <w:i/>
        </w:rPr>
        <w:t>O</w:t>
      </w:r>
      <w:r>
        <w:rPr>
          <w:b/>
          <w:i/>
        </w:rPr>
        <w:t>bservation</w:t>
      </w:r>
      <w:r>
        <w:rPr>
          <w:rFonts w:hint="eastAsia"/>
          <w:b/>
          <w:i/>
        </w:rPr>
        <w:t xml:space="preserve"> 1</w:t>
      </w:r>
      <w:r>
        <w:rPr>
          <w:i/>
        </w:rPr>
        <w:t xml:space="preserve">: Compared with one-to-two </w:t>
      </w:r>
      <w:r>
        <w:rPr>
          <w:b/>
          <w:i/>
        </w:rPr>
        <w:t>downlink</w:t>
      </w:r>
      <w:r>
        <w:rPr>
          <w:i/>
        </w:rPr>
        <w:t xml:space="preserve"> scheduling, the PDCCH blocking rate for enabling both one-to-two </w:t>
      </w:r>
      <w:r>
        <w:rPr>
          <w:b/>
          <w:i/>
        </w:rPr>
        <w:t>uplink</w:t>
      </w:r>
      <w:r>
        <w:rPr>
          <w:i/>
        </w:rPr>
        <w:t xml:space="preserve"> scheduling and one-to-two </w:t>
      </w:r>
      <w:r>
        <w:rPr>
          <w:b/>
          <w:i/>
        </w:rPr>
        <w:t>downlink</w:t>
      </w:r>
      <w:r>
        <w:rPr>
          <w:i/>
        </w:rPr>
        <w:t xml:space="preserve"> scheduling can be </w:t>
      </w:r>
      <w:r>
        <w:rPr>
          <w:rFonts w:hint="eastAsia"/>
          <w:i/>
          <w:lang w:val="en-US" w:eastAsia="zh-CN"/>
        </w:rPr>
        <w:t>further reduced</w:t>
      </w:r>
      <w:r>
        <w:rPr>
          <w:i/>
        </w:rPr>
        <w:t xml:space="preserve"> by about 5.6% ~ 9.1%. </w:t>
      </w:r>
    </w:p>
    <w:p>
      <w:pPr>
        <w:snapToGrid w:val="0"/>
        <w:spacing w:before="120" w:beforeLines="50" w:after="120" w:afterLines="50"/>
        <w:rPr>
          <w:i/>
        </w:rPr>
      </w:pPr>
    </w:p>
    <w:p>
      <w:pPr>
        <w:pStyle w:val="3"/>
        <w:rPr>
          <w:lang w:val="en-US"/>
        </w:rPr>
      </w:pPr>
      <w:r>
        <w:rPr>
          <w:lang w:val="en-US"/>
        </w:rPr>
        <w:t>One DCI scheduling PDSCH/PUSCH for more than 2 cells</w:t>
      </w:r>
    </w:p>
    <w:p>
      <w:pPr>
        <w:snapToGrid w:val="0"/>
        <w:spacing w:before="120" w:beforeLines="50" w:after="120" w:afterLines="50"/>
      </w:pPr>
      <w:r>
        <w:t xml:space="preserve">According to the simulation results provided in </w:t>
      </w:r>
      <w:r>
        <w:rPr>
          <w:rFonts w:hint="eastAsia"/>
        </w:rPr>
        <w:t>[2]</w:t>
      </w:r>
      <w:r>
        <w:t>, the PDCCH block</w:t>
      </w:r>
      <w:r>
        <w:rPr>
          <w:rFonts w:hint="eastAsia"/>
          <w:lang w:val="en-US" w:eastAsia="zh-CN"/>
        </w:rPr>
        <w:t>age</w:t>
      </w:r>
      <w:r>
        <w:t xml:space="preserve"> gain is very limited in most cases, especially in the case where most DCI fields are separately indicated for two carriers. Except enabling both uplink and downlink one-to-two scheduling at the same time, the number of scheduled cells can be extended for more PDCCH block</w:t>
      </w:r>
      <w:r>
        <w:rPr>
          <w:rFonts w:hint="eastAsia"/>
          <w:lang w:val="en-US" w:eastAsia="zh-CN"/>
        </w:rPr>
        <w:t>age</w:t>
      </w:r>
      <w:r>
        <w:t xml:space="preserve"> gain.</w:t>
      </w:r>
      <w:r>
        <w:rPr>
          <w:rFonts w:hint="eastAsia"/>
        </w:rPr>
        <w:t xml:space="preserve"> To compare the performance of one-to-two scheduling and one-to-more scheduling (such as one-to-three scheduling</w:t>
      </w:r>
      <w:r>
        <w:t xml:space="preserve"> in our simulation</w:t>
      </w:r>
      <w:r>
        <w:rPr>
          <w:rFonts w:hint="eastAsia"/>
        </w:rPr>
        <w:t xml:space="preserve">) in typical scenarios, the PDCCH blocking rate is evaluated. </w:t>
      </w:r>
    </w:p>
    <w:p>
      <w:pPr>
        <w:snapToGrid w:val="0"/>
        <w:spacing w:before="120" w:beforeLines="50" w:after="120" w:afterLines="50"/>
      </w:pPr>
      <w:r>
        <w:rPr>
          <w:iCs/>
        </w:rPr>
        <w:t>As shown in Fig.</w:t>
      </w:r>
      <w:r>
        <w:rPr>
          <w:rFonts w:hint="eastAsia"/>
          <w:iCs/>
        </w:rPr>
        <w:t>3</w:t>
      </w:r>
      <w:r>
        <w:rPr>
          <w:iCs/>
        </w:rPr>
        <w:t>, three cases are simulated, the first one is the legacy DCI cas</w:t>
      </w:r>
      <w:r>
        <w:rPr>
          <w:rFonts w:cs="Times New Roman"/>
          <w:iCs/>
        </w:rPr>
        <w:t>e (</w:t>
      </w:r>
      <w:r>
        <w:rPr>
          <w:rFonts w:cs="Times New Roman"/>
          <w:color w:val="000000"/>
        </w:rPr>
        <w:t>c</w:t>
      </w:r>
      <w:r>
        <w:rPr>
          <w:rFonts w:eastAsia="Times New Roman" w:cs="Times New Roman"/>
          <w:color w:val="000000"/>
        </w:rPr>
        <w:t xml:space="preserve">ase </w:t>
      </w:r>
      <w:r>
        <w:rPr>
          <w:rFonts w:cs="Times New Roman"/>
          <w:color w:val="000000"/>
        </w:rPr>
        <w:t>Ⅰ</w:t>
      </w:r>
      <w:r>
        <w:rPr>
          <w:rFonts w:hint="eastAsia"/>
          <w:iCs/>
        </w:rPr>
        <w:t>)</w:t>
      </w:r>
      <w:r>
        <w:rPr>
          <w:iCs/>
        </w:rPr>
        <w:t>, the second one is one-to-two scheduling case</w:t>
      </w:r>
      <w:r>
        <w:rPr>
          <w:rFonts w:hint="eastAsia"/>
          <w:iCs/>
        </w:rPr>
        <w:t xml:space="preserve"> (</w:t>
      </w:r>
      <w:r>
        <w:rPr>
          <w:rFonts w:hint="eastAsia"/>
          <w:color w:val="000000"/>
        </w:rPr>
        <w:t>c</w:t>
      </w:r>
      <w:r>
        <w:rPr>
          <w:rFonts w:eastAsia="Times New Roman"/>
          <w:color w:val="000000"/>
        </w:rPr>
        <w:t xml:space="preserve">ase </w:t>
      </w:r>
      <w:r>
        <w:rPr>
          <w:rFonts w:hint="eastAsia"/>
          <w:color w:val="000000"/>
        </w:rPr>
        <w:t>Ⅱ</w:t>
      </w:r>
      <w:r>
        <w:rPr>
          <w:rFonts w:hint="eastAsia"/>
          <w:iCs/>
        </w:rPr>
        <w:t>)</w:t>
      </w:r>
      <w:r>
        <w:rPr>
          <w:iCs/>
        </w:rPr>
        <w:t>, and the last one is one-to-t</w:t>
      </w:r>
      <w:r>
        <w:rPr>
          <w:rFonts w:hint="eastAsia"/>
          <w:iCs/>
        </w:rPr>
        <w:t>hree</w:t>
      </w:r>
      <w:r>
        <w:rPr>
          <w:iCs/>
        </w:rPr>
        <w:t xml:space="preserve"> scheduling</w:t>
      </w:r>
      <w:r>
        <w:rPr>
          <w:rFonts w:hint="eastAsia"/>
          <w:iCs/>
        </w:rPr>
        <w:t xml:space="preserve"> case (</w:t>
      </w:r>
      <w:r>
        <w:rPr>
          <w:rFonts w:hint="eastAsia"/>
          <w:color w:val="000000"/>
        </w:rPr>
        <w:t>c</w:t>
      </w:r>
      <w:r>
        <w:rPr>
          <w:rFonts w:eastAsia="Times New Roman"/>
          <w:color w:val="000000"/>
        </w:rPr>
        <w:t xml:space="preserve">ase </w:t>
      </w:r>
      <w:r>
        <w:rPr>
          <w:rFonts w:cs="Times New Roman"/>
          <w:color w:val="000000"/>
        </w:rPr>
        <w:t>Ⅲ</w:t>
      </w:r>
      <w:r>
        <w:rPr>
          <w:rFonts w:hint="eastAsia"/>
          <w:iCs/>
        </w:rPr>
        <w:t>)</w:t>
      </w:r>
      <w:r>
        <w:rPr>
          <w:iCs/>
        </w:rPr>
        <w:t>.</w:t>
      </w:r>
      <w:r>
        <w:rPr>
          <w:rFonts w:hint="eastAsia"/>
          <w:iCs/>
        </w:rPr>
        <w:t xml:space="preserve"> </w:t>
      </w:r>
      <w:r>
        <w:rPr>
          <w:rFonts w:hint="eastAsia"/>
        </w:rPr>
        <w:t xml:space="preserve">For the </w:t>
      </w:r>
      <w:r>
        <w:rPr>
          <w:rFonts w:hint="eastAsia"/>
          <w:color w:val="000000"/>
        </w:rPr>
        <w:t>c</w:t>
      </w:r>
      <w:r>
        <w:rPr>
          <w:rFonts w:eastAsia="Times New Roman"/>
          <w:color w:val="000000"/>
        </w:rPr>
        <w:t>ase</w:t>
      </w:r>
      <w:r>
        <w:rPr>
          <w:rFonts w:hint="eastAsia" w:eastAsia="宋体"/>
          <w:color w:val="000000"/>
          <w:lang w:val="en-US" w:eastAsia="zh-CN"/>
        </w:rPr>
        <w:t xml:space="preserve"> </w:t>
      </w:r>
      <w:r>
        <w:rPr>
          <w:rFonts w:hint="eastAsia"/>
          <w:color w:val="000000"/>
        </w:rPr>
        <w:t>Ⅰ</w:t>
      </w:r>
      <w:r>
        <w:rPr>
          <w:rFonts w:hint="eastAsia"/>
        </w:rPr>
        <w:t xml:space="preserve">, three DCIs with normal size </w:t>
      </w:r>
      <w:r>
        <w:t xml:space="preserve">(60bits) </w:t>
      </w:r>
      <w:r>
        <w:rPr>
          <w:rFonts w:hint="eastAsia"/>
        </w:rPr>
        <w:t xml:space="preserve">are used to schedule PDSCH/PUSCH on three cells respectively. For the </w:t>
      </w:r>
      <w:r>
        <w:rPr>
          <w:rFonts w:hint="eastAsia"/>
          <w:color w:val="000000"/>
        </w:rPr>
        <w:t>c</w:t>
      </w:r>
      <w:r>
        <w:rPr>
          <w:rFonts w:eastAsia="Times New Roman"/>
          <w:color w:val="000000"/>
        </w:rPr>
        <w:t xml:space="preserve">ase </w:t>
      </w:r>
      <w:r>
        <w:rPr>
          <w:rFonts w:hint="eastAsia"/>
          <w:color w:val="000000"/>
        </w:rPr>
        <w:t>Ⅱ</w:t>
      </w:r>
      <w:r>
        <w:rPr>
          <w:rFonts w:hint="eastAsia"/>
        </w:rPr>
        <w:t xml:space="preserve">, one bigger size downlink DCI </w:t>
      </w:r>
      <w:r>
        <w:t xml:space="preserve">(84 bits) </w:t>
      </w:r>
      <w:r>
        <w:rPr>
          <w:rFonts w:hint="eastAsia"/>
        </w:rPr>
        <w:t xml:space="preserve">is used to schedule two PDSCHs/PUSCHs on two cells and one DCI with normal size </w:t>
      </w:r>
      <w:r>
        <w:t xml:space="preserve">(60bits) </w:t>
      </w:r>
      <w:r>
        <w:rPr>
          <w:rFonts w:hint="eastAsia"/>
        </w:rPr>
        <w:t xml:space="preserve">is used to schedule one PDSCH/PUSCH on one cell. For the </w:t>
      </w:r>
      <w:r>
        <w:rPr>
          <w:rFonts w:hint="eastAsia"/>
          <w:color w:val="000000"/>
        </w:rPr>
        <w:t>c</w:t>
      </w:r>
      <w:r>
        <w:rPr>
          <w:rFonts w:eastAsia="Times New Roman"/>
          <w:color w:val="000000"/>
        </w:rPr>
        <w:t xml:space="preserve">ase </w:t>
      </w:r>
      <w:r>
        <w:rPr>
          <w:color w:val="000000"/>
        </w:rPr>
        <w:t>Ⅲ</w:t>
      </w:r>
      <w:r>
        <w:rPr>
          <w:rFonts w:hint="eastAsia"/>
        </w:rPr>
        <w:t xml:space="preserve">, one bigger size DCI </w:t>
      </w:r>
      <w:r>
        <w:t xml:space="preserve">(108bits) </w:t>
      </w:r>
      <w:r>
        <w:rPr>
          <w:rFonts w:hint="eastAsia"/>
        </w:rPr>
        <w:t xml:space="preserve">is used to schedule PDSCH on three cells. The remaining details of simulation assumptions </w:t>
      </w:r>
      <w:r>
        <w:t>(Table A-1)</w:t>
      </w:r>
      <w:r>
        <w:rPr>
          <w:rFonts w:hint="eastAsia"/>
        </w:rPr>
        <w:t xml:space="preserve"> are listed in the appendix Section </w:t>
      </w:r>
      <w:r>
        <w:rPr>
          <w:rFonts w:hint="eastAsia"/>
          <w:lang w:val="en-US" w:eastAsia="zh-CN"/>
        </w:rPr>
        <w:t>4.1</w:t>
      </w:r>
      <w:r>
        <w:rPr>
          <w:rFonts w:hint="eastAsia"/>
        </w:rPr>
        <w:t>.</w:t>
      </w:r>
    </w:p>
    <w:p>
      <w:pPr>
        <w:snapToGrid w:val="0"/>
        <w:spacing w:before="120" w:beforeLines="50" w:after="120" w:afterLines="50"/>
      </w:pPr>
      <w:r>
        <w:drawing>
          <wp:inline distT="0" distB="0" distL="114300" distR="114300">
            <wp:extent cx="6118860" cy="2062480"/>
            <wp:effectExtent l="0" t="0" r="762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6118860" cy="2062480"/>
                    </a:xfrm>
                    <a:prstGeom prst="rect">
                      <a:avLst/>
                    </a:prstGeom>
                    <a:noFill/>
                    <a:ln>
                      <a:noFill/>
                    </a:ln>
                  </pic:spPr>
                </pic:pic>
              </a:graphicData>
            </a:graphic>
          </wp:inline>
        </w:drawing>
      </w:r>
    </w:p>
    <w:p>
      <w:pPr>
        <w:spacing w:after="180"/>
        <w:jc w:val="center"/>
      </w:pPr>
      <w:r>
        <w:t xml:space="preserve">Fig. </w:t>
      </w:r>
      <w:r>
        <w:rPr>
          <w:rFonts w:hint="eastAsia"/>
        </w:rPr>
        <w:t>3</w:t>
      </w:r>
      <w:r>
        <w:t xml:space="preserve"> </w:t>
      </w:r>
      <w:r>
        <w:rPr>
          <w:rFonts w:hint="eastAsia"/>
        </w:rPr>
        <w:t>D</w:t>
      </w:r>
      <w:r>
        <w:t xml:space="preserve">ifferent simulation </w:t>
      </w:r>
      <w:r>
        <w:rPr>
          <w:rFonts w:hint="eastAsia"/>
        </w:rPr>
        <w:t>cases</w:t>
      </w:r>
    </w:p>
    <w:p>
      <w:pPr>
        <w:rPr>
          <w:szCs w:val="20"/>
        </w:rPr>
      </w:pPr>
      <w:r>
        <w:rPr>
          <w:rFonts w:hint="eastAsia"/>
          <w:szCs w:val="20"/>
        </w:rPr>
        <w:t>The simulation results of blocking rate are showed in Fig.</w:t>
      </w:r>
      <w:r>
        <w:rPr>
          <w:rFonts w:hint="eastAsia"/>
          <w:szCs w:val="20"/>
          <w:lang w:val="en-US" w:eastAsia="zh-CN"/>
        </w:rPr>
        <w:t>4</w:t>
      </w:r>
      <w:r>
        <w:rPr>
          <w:rFonts w:hint="eastAsia"/>
          <w:szCs w:val="20"/>
        </w:rPr>
        <w:t xml:space="preserve"> and Table 2. In Table 2, </w:t>
      </w:r>
      <w:r>
        <w:rPr>
          <w:i/>
          <w:iCs/>
          <w:szCs w:val="20"/>
        </w:rPr>
        <w:t>C</w:t>
      </w:r>
      <w:r>
        <w:rPr>
          <w:rFonts w:hint="eastAsia"/>
          <w:szCs w:val="20"/>
        </w:rPr>
        <w:t>=</w:t>
      </w:r>
      <w:r>
        <w:rPr>
          <w:rFonts w:hint="eastAsia"/>
          <w:i/>
          <w:iCs/>
          <w:szCs w:val="20"/>
        </w:rPr>
        <w:t>d</w:t>
      </w:r>
      <w:r>
        <w:rPr>
          <w:rFonts w:hint="eastAsia"/>
          <w:szCs w:val="20"/>
        </w:rPr>
        <w:t>-</w:t>
      </w:r>
      <w:r>
        <w:rPr>
          <w:rFonts w:hint="eastAsia"/>
          <w:i/>
          <w:iCs/>
          <w:szCs w:val="20"/>
        </w:rPr>
        <w:t xml:space="preserve">e </w:t>
      </w:r>
      <w:r>
        <w:rPr>
          <w:rFonts w:hint="eastAsia"/>
          <w:szCs w:val="20"/>
        </w:rPr>
        <w:t xml:space="preserve">and </w:t>
      </w:r>
      <w:r>
        <w:rPr>
          <w:i/>
          <w:iCs/>
          <w:szCs w:val="20"/>
        </w:rPr>
        <w:t>D</w:t>
      </w:r>
      <w:r>
        <w:rPr>
          <w:rFonts w:hint="eastAsia"/>
          <w:i/>
          <w:iCs/>
          <w:szCs w:val="20"/>
        </w:rPr>
        <w:t>=d-f</w:t>
      </w:r>
      <w:r>
        <w:rPr>
          <w:rFonts w:hint="eastAsia"/>
          <w:szCs w:val="20"/>
        </w:rPr>
        <w:t xml:space="preserve">, where </w:t>
      </w:r>
      <w:r>
        <w:rPr>
          <w:rFonts w:hint="eastAsia"/>
          <w:i/>
          <w:iCs/>
          <w:szCs w:val="20"/>
        </w:rPr>
        <w:t>d</w:t>
      </w:r>
      <w:r>
        <w:rPr>
          <w:rFonts w:hint="eastAsia"/>
          <w:szCs w:val="20"/>
        </w:rPr>
        <w:t xml:space="preserve"> is the blocking rate of baseline case, </w:t>
      </w:r>
      <w:r>
        <w:rPr>
          <w:rFonts w:hint="eastAsia"/>
          <w:i/>
          <w:iCs/>
          <w:szCs w:val="20"/>
        </w:rPr>
        <w:t>e</w:t>
      </w:r>
      <w:r>
        <w:rPr>
          <w:rFonts w:hint="eastAsia"/>
          <w:szCs w:val="20"/>
        </w:rPr>
        <w:t xml:space="preserve"> is the blocking rate of </w:t>
      </w:r>
      <w:r>
        <w:rPr>
          <w:rFonts w:hint="eastAsia"/>
          <w:color w:val="000000"/>
          <w:szCs w:val="20"/>
        </w:rPr>
        <w:t>c</w:t>
      </w:r>
      <w:r>
        <w:rPr>
          <w:rFonts w:eastAsia="Times New Roman"/>
          <w:color w:val="000000"/>
          <w:szCs w:val="20"/>
        </w:rPr>
        <w:t>ase</w:t>
      </w:r>
      <w:r>
        <w:rPr>
          <w:rFonts w:eastAsia="Times New Roman" w:cs="Times New Roman"/>
          <w:color w:val="000000"/>
          <w:szCs w:val="20"/>
        </w:rPr>
        <w:t xml:space="preserve"> </w:t>
      </w:r>
      <w:r>
        <w:rPr>
          <w:rFonts w:cs="Times New Roman"/>
          <w:color w:val="000000"/>
          <w:szCs w:val="20"/>
        </w:rPr>
        <w:t>Ⅱ</w:t>
      </w:r>
      <w:r>
        <w:rPr>
          <w:rFonts w:cs="Times New Roman"/>
          <w:szCs w:val="20"/>
        </w:rPr>
        <w:t>,</w:t>
      </w:r>
      <w:r>
        <w:rPr>
          <w:rFonts w:hint="eastAsia"/>
          <w:szCs w:val="20"/>
        </w:rPr>
        <w:t xml:space="preserve"> and </w:t>
      </w:r>
      <w:r>
        <w:rPr>
          <w:rFonts w:hint="eastAsia"/>
          <w:i/>
          <w:iCs/>
          <w:szCs w:val="20"/>
        </w:rPr>
        <w:t>f</w:t>
      </w:r>
      <w:r>
        <w:rPr>
          <w:rFonts w:hint="eastAsia"/>
          <w:szCs w:val="20"/>
        </w:rPr>
        <w:t xml:space="preserve"> is the blocking rate of </w:t>
      </w:r>
      <w:r>
        <w:rPr>
          <w:rFonts w:hint="eastAsia"/>
          <w:color w:val="000000"/>
          <w:szCs w:val="20"/>
        </w:rPr>
        <w:t>c</w:t>
      </w:r>
      <w:r>
        <w:rPr>
          <w:rFonts w:eastAsia="Times New Roman"/>
          <w:color w:val="000000"/>
          <w:szCs w:val="20"/>
        </w:rPr>
        <w:t xml:space="preserve">ase </w:t>
      </w:r>
      <w:r>
        <w:rPr>
          <w:rFonts w:cs="Times New Roman"/>
          <w:color w:val="000000"/>
          <w:szCs w:val="20"/>
        </w:rPr>
        <w:t>Ⅲ</w:t>
      </w:r>
      <w:r>
        <w:rPr>
          <w:rFonts w:hint="eastAsia"/>
          <w:szCs w:val="20"/>
        </w:rPr>
        <w:t>.</w:t>
      </w:r>
    </w:p>
    <w:p>
      <w:pPr>
        <w:jc w:val="center"/>
      </w:pPr>
      <w:r>
        <w:drawing>
          <wp:inline distT="0" distB="0" distL="114300" distR="114300">
            <wp:extent cx="5039995" cy="2879725"/>
            <wp:effectExtent l="0" t="0" r="0" b="0"/>
            <wp:docPr id="17" name="图片 6"/>
            <wp:cNvGraphicFramePr/>
            <a:graphic xmlns:a="http://schemas.openxmlformats.org/drawingml/2006/main">
              <a:graphicData uri="http://schemas.openxmlformats.org/drawingml/2006/picture">
                <pic:pic xmlns:pic="http://schemas.openxmlformats.org/drawingml/2006/picture">
                  <pic:nvPicPr>
                    <pic:cNvPr id="17" name="图片 6"/>
                    <pic:cNvPicPr/>
                  </pic:nvPicPr>
                  <pic:blipFill>
                    <a:blip r:embed="rId10"/>
                    <a:stretch>
                      <a:fillRect/>
                    </a:stretch>
                  </pic:blipFill>
                  <pic:spPr>
                    <a:xfrm>
                      <a:off x="0" y="0"/>
                      <a:ext cx="5039995" cy="2879725"/>
                    </a:xfrm>
                    <a:prstGeom prst="rect">
                      <a:avLst/>
                    </a:prstGeom>
                    <a:noFill/>
                    <a:ln>
                      <a:noFill/>
                    </a:ln>
                  </pic:spPr>
                </pic:pic>
              </a:graphicData>
            </a:graphic>
          </wp:inline>
        </w:drawing>
      </w:r>
    </w:p>
    <w:p>
      <w:pPr>
        <w:spacing w:after="180"/>
        <w:jc w:val="center"/>
      </w:pPr>
      <w:r>
        <w:t xml:space="preserve">Fig. </w:t>
      </w:r>
      <w:r>
        <w:rPr>
          <w:rFonts w:hint="eastAsia"/>
          <w:lang w:val="en-US" w:eastAsia="zh-CN"/>
        </w:rPr>
        <w:t>4</w:t>
      </w:r>
      <w:r>
        <w:t xml:space="preserve"> PDCCH blocking rate</w:t>
      </w:r>
    </w:p>
    <w:p>
      <w:pPr>
        <w:jc w:val="center"/>
      </w:pPr>
      <w:r>
        <w:rPr>
          <w:rFonts w:hint="eastAsia"/>
        </w:rPr>
        <w:t>Table 2 Gain for d</w:t>
      </w:r>
      <w:r>
        <w:t>ifferent simulation cases</w:t>
      </w:r>
    </w:p>
    <w:tbl>
      <w:tblPr>
        <w:tblStyle w:val="50"/>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2159"/>
        <w:gridCol w:w="2381"/>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vAlign w:val="center"/>
          </w:tcPr>
          <w:p>
            <w:pPr>
              <w:spacing w:line="280" w:lineRule="atLeast"/>
              <w:jc w:val="center"/>
            </w:pPr>
            <w:r>
              <w:rPr>
                <w:rFonts w:hint="eastAsia"/>
              </w:rPr>
              <w:t>UE number per cell</w:t>
            </w:r>
          </w:p>
        </w:tc>
        <w:tc>
          <w:tcPr>
            <w:tcW w:w="2184" w:type="dxa"/>
            <w:vAlign w:val="center"/>
          </w:tcPr>
          <w:p>
            <w:pPr>
              <w:spacing w:line="280" w:lineRule="atLeast"/>
              <w:jc w:val="center"/>
            </w:pPr>
            <w:r>
              <w:rPr>
                <w:rFonts w:hint="eastAsia"/>
              </w:rPr>
              <w:t xml:space="preserve">Gain </w:t>
            </w:r>
            <w:r>
              <w:rPr>
                <w:i/>
                <w:iCs/>
              </w:rPr>
              <w:t>C</w:t>
            </w:r>
            <w:r>
              <w:rPr>
                <w:rFonts w:hint="eastAsia"/>
              </w:rPr>
              <w:t xml:space="preserve"> for one-scheduling-two</w:t>
            </w:r>
          </w:p>
        </w:tc>
        <w:tc>
          <w:tcPr>
            <w:tcW w:w="2409" w:type="dxa"/>
            <w:vAlign w:val="center"/>
          </w:tcPr>
          <w:p>
            <w:pPr>
              <w:spacing w:line="280" w:lineRule="atLeast"/>
              <w:jc w:val="center"/>
            </w:pPr>
            <w:r>
              <w:rPr>
                <w:rFonts w:hint="eastAsia"/>
              </w:rPr>
              <w:t xml:space="preserve">Gain </w:t>
            </w:r>
            <w:r>
              <w:rPr>
                <w:i/>
                <w:iCs/>
              </w:rPr>
              <w:t>D</w:t>
            </w:r>
            <w:r>
              <w:rPr>
                <w:rFonts w:hint="eastAsia"/>
              </w:rPr>
              <w:t xml:space="preserve"> for one-scheduling-three</w:t>
            </w:r>
          </w:p>
        </w:tc>
        <w:tc>
          <w:tcPr>
            <w:tcW w:w="2514" w:type="dxa"/>
            <w:vAlign w:val="center"/>
          </w:tcPr>
          <w:p>
            <w:pPr>
              <w:spacing w:line="280" w:lineRule="atLeast"/>
              <w:jc w:val="center"/>
            </w:pPr>
            <w:r>
              <w:rPr>
                <w:i/>
                <w:iCs/>
              </w:rPr>
              <w:t>D</w:t>
            </w:r>
            <w:r>
              <w:rPr>
                <w:rFonts w:hint="eastAsia"/>
              </w:rPr>
              <w:t>-</w:t>
            </w:r>
            <w:r>
              <w:rPr>
                <w:i/>
                <w:iC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w:t>
            </w:r>
          </w:p>
        </w:tc>
        <w:tc>
          <w:tcPr>
            <w:tcW w:w="2184" w:type="dxa"/>
            <w:vAlign w:val="bottom"/>
          </w:tcPr>
          <w:p>
            <w:pPr>
              <w:spacing w:before="120" w:line="280" w:lineRule="atLeast"/>
              <w:jc w:val="center"/>
              <w:textAlignment w:val="bottom"/>
            </w:pPr>
            <w:r>
              <w:rPr>
                <w:color w:val="000000"/>
                <w:szCs w:val="21"/>
                <w:lang w:bidi="ar"/>
              </w:rPr>
              <w:t>3.23%</w:t>
            </w:r>
          </w:p>
        </w:tc>
        <w:tc>
          <w:tcPr>
            <w:tcW w:w="2409" w:type="dxa"/>
            <w:vAlign w:val="center"/>
          </w:tcPr>
          <w:p>
            <w:pPr>
              <w:spacing w:before="120" w:line="280" w:lineRule="atLeast"/>
              <w:jc w:val="center"/>
              <w:textAlignment w:val="bottom"/>
            </w:pPr>
            <w:r>
              <w:rPr>
                <w:color w:val="000000"/>
                <w:szCs w:val="21"/>
                <w:lang w:bidi="ar"/>
              </w:rPr>
              <w:t>4.42%</w:t>
            </w:r>
          </w:p>
        </w:tc>
        <w:tc>
          <w:tcPr>
            <w:tcW w:w="2514" w:type="dxa"/>
            <w:vAlign w:val="bottom"/>
          </w:tcPr>
          <w:p>
            <w:pPr>
              <w:spacing w:before="120" w:line="280" w:lineRule="atLeast"/>
              <w:jc w:val="center"/>
              <w:textAlignment w:val="bottom"/>
            </w:pPr>
            <w:r>
              <w:rPr>
                <w:color w:val="000000"/>
                <w:szCs w:val="21"/>
                <w:lang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2</w:t>
            </w:r>
          </w:p>
        </w:tc>
        <w:tc>
          <w:tcPr>
            <w:tcW w:w="2184" w:type="dxa"/>
            <w:vAlign w:val="bottom"/>
          </w:tcPr>
          <w:p>
            <w:pPr>
              <w:spacing w:before="120" w:line="280" w:lineRule="atLeast"/>
              <w:jc w:val="center"/>
              <w:textAlignment w:val="bottom"/>
            </w:pPr>
            <w:r>
              <w:rPr>
                <w:color w:val="000000"/>
                <w:szCs w:val="21"/>
                <w:lang w:bidi="ar"/>
              </w:rPr>
              <w:t>4.23%</w:t>
            </w:r>
          </w:p>
        </w:tc>
        <w:tc>
          <w:tcPr>
            <w:tcW w:w="2409" w:type="dxa"/>
            <w:vAlign w:val="center"/>
          </w:tcPr>
          <w:p>
            <w:pPr>
              <w:spacing w:before="120" w:line="280" w:lineRule="atLeast"/>
              <w:jc w:val="center"/>
              <w:textAlignment w:val="bottom"/>
            </w:pPr>
            <w:r>
              <w:rPr>
                <w:color w:val="000000"/>
                <w:szCs w:val="21"/>
                <w:lang w:bidi="ar"/>
              </w:rPr>
              <w:t>9.40%</w:t>
            </w:r>
          </w:p>
        </w:tc>
        <w:tc>
          <w:tcPr>
            <w:tcW w:w="2514" w:type="dxa"/>
            <w:vAlign w:val="bottom"/>
          </w:tcPr>
          <w:p>
            <w:pPr>
              <w:spacing w:before="120" w:line="280" w:lineRule="atLeast"/>
              <w:jc w:val="center"/>
              <w:textAlignment w:val="bottom"/>
            </w:pPr>
            <w:r>
              <w:rPr>
                <w:color w:val="000000"/>
                <w:szCs w:val="21"/>
                <w:lang w:bidi="ar"/>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3</w:t>
            </w:r>
          </w:p>
        </w:tc>
        <w:tc>
          <w:tcPr>
            <w:tcW w:w="2184" w:type="dxa"/>
            <w:vAlign w:val="bottom"/>
          </w:tcPr>
          <w:p>
            <w:pPr>
              <w:spacing w:before="120" w:line="280" w:lineRule="atLeast"/>
              <w:jc w:val="center"/>
              <w:textAlignment w:val="bottom"/>
            </w:pPr>
            <w:r>
              <w:rPr>
                <w:color w:val="000000"/>
                <w:szCs w:val="21"/>
                <w:lang w:bidi="ar"/>
              </w:rPr>
              <w:t>3.88%</w:t>
            </w:r>
          </w:p>
        </w:tc>
        <w:tc>
          <w:tcPr>
            <w:tcW w:w="2409" w:type="dxa"/>
            <w:vAlign w:val="center"/>
          </w:tcPr>
          <w:p>
            <w:pPr>
              <w:spacing w:before="120" w:line="280" w:lineRule="atLeast"/>
              <w:jc w:val="center"/>
              <w:textAlignment w:val="bottom"/>
            </w:pPr>
            <w:r>
              <w:rPr>
                <w:color w:val="000000"/>
                <w:szCs w:val="21"/>
                <w:lang w:bidi="ar"/>
              </w:rPr>
              <w:t>10.78%</w:t>
            </w:r>
          </w:p>
        </w:tc>
        <w:tc>
          <w:tcPr>
            <w:tcW w:w="2514" w:type="dxa"/>
            <w:vAlign w:val="bottom"/>
          </w:tcPr>
          <w:p>
            <w:pPr>
              <w:spacing w:before="120" w:line="280" w:lineRule="atLeast"/>
              <w:jc w:val="center"/>
              <w:textAlignment w:val="bottom"/>
            </w:pPr>
            <w:r>
              <w:rPr>
                <w:color w:val="000000"/>
                <w:szCs w:val="21"/>
                <w:lang w:bidi="ar"/>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4</w:t>
            </w:r>
          </w:p>
        </w:tc>
        <w:tc>
          <w:tcPr>
            <w:tcW w:w="2184" w:type="dxa"/>
            <w:vAlign w:val="bottom"/>
          </w:tcPr>
          <w:p>
            <w:pPr>
              <w:spacing w:before="120" w:line="280" w:lineRule="atLeast"/>
              <w:jc w:val="center"/>
              <w:textAlignment w:val="bottom"/>
            </w:pPr>
            <w:r>
              <w:rPr>
                <w:color w:val="000000"/>
                <w:szCs w:val="21"/>
                <w:lang w:bidi="ar"/>
              </w:rPr>
              <w:t>4.20%</w:t>
            </w:r>
          </w:p>
        </w:tc>
        <w:tc>
          <w:tcPr>
            <w:tcW w:w="2409" w:type="dxa"/>
            <w:vAlign w:val="center"/>
          </w:tcPr>
          <w:p>
            <w:pPr>
              <w:spacing w:before="120" w:line="280" w:lineRule="atLeast"/>
              <w:jc w:val="center"/>
              <w:textAlignment w:val="bottom"/>
            </w:pPr>
            <w:r>
              <w:rPr>
                <w:color w:val="000000"/>
                <w:szCs w:val="21"/>
                <w:lang w:bidi="ar"/>
              </w:rPr>
              <w:t>12.28%</w:t>
            </w:r>
          </w:p>
        </w:tc>
        <w:tc>
          <w:tcPr>
            <w:tcW w:w="2514" w:type="dxa"/>
            <w:vAlign w:val="bottom"/>
          </w:tcPr>
          <w:p>
            <w:pPr>
              <w:spacing w:before="120" w:line="280" w:lineRule="atLeast"/>
              <w:jc w:val="center"/>
              <w:textAlignment w:val="bottom"/>
            </w:pPr>
            <w:r>
              <w:rPr>
                <w:color w:val="000000"/>
                <w:szCs w:val="21"/>
                <w:lang w:bidi="ar"/>
              </w:rPr>
              <w:t>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5</w:t>
            </w:r>
          </w:p>
        </w:tc>
        <w:tc>
          <w:tcPr>
            <w:tcW w:w="2184" w:type="dxa"/>
            <w:vAlign w:val="bottom"/>
          </w:tcPr>
          <w:p>
            <w:pPr>
              <w:spacing w:before="120" w:line="280" w:lineRule="atLeast"/>
              <w:jc w:val="center"/>
              <w:textAlignment w:val="bottom"/>
            </w:pPr>
            <w:r>
              <w:rPr>
                <w:color w:val="000000"/>
                <w:szCs w:val="21"/>
                <w:lang w:bidi="ar"/>
              </w:rPr>
              <w:t>4.36%</w:t>
            </w:r>
          </w:p>
        </w:tc>
        <w:tc>
          <w:tcPr>
            <w:tcW w:w="2409" w:type="dxa"/>
            <w:vAlign w:val="center"/>
          </w:tcPr>
          <w:p>
            <w:pPr>
              <w:spacing w:before="120" w:line="280" w:lineRule="atLeast"/>
              <w:jc w:val="center"/>
              <w:textAlignment w:val="bottom"/>
            </w:pPr>
            <w:r>
              <w:rPr>
                <w:color w:val="000000"/>
                <w:szCs w:val="21"/>
                <w:lang w:bidi="ar"/>
              </w:rPr>
              <w:t>13.23%</w:t>
            </w:r>
          </w:p>
        </w:tc>
        <w:tc>
          <w:tcPr>
            <w:tcW w:w="2514" w:type="dxa"/>
            <w:vAlign w:val="bottom"/>
          </w:tcPr>
          <w:p>
            <w:pPr>
              <w:spacing w:before="120" w:line="280" w:lineRule="atLeast"/>
              <w:jc w:val="center"/>
              <w:textAlignment w:val="bottom"/>
            </w:pPr>
            <w:r>
              <w:rPr>
                <w:color w:val="000000"/>
                <w:szCs w:val="21"/>
                <w:lang w:bidi="ar"/>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6</w:t>
            </w:r>
          </w:p>
        </w:tc>
        <w:tc>
          <w:tcPr>
            <w:tcW w:w="2184" w:type="dxa"/>
            <w:vAlign w:val="bottom"/>
          </w:tcPr>
          <w:p>
            <w:pPr>
              <w:spacing w:before="120" w:line="280" w:lineRule="atLeast"/>
              <w:jc w:val="center"/>
              <w:textAlignment w:val="bottom"/>
            </w:pPr>
            <w:r>
              <w:rPr>
                <w:color w:val="000000"/>
                <w:szCs w:val="21"/>
                <w:lang w:bidi="ar"/>
              </w:rPr>
              <w:t>4.41%</w:t>
            </w:r>
          </w:p>
        </w:tc>
        <w:tc>
          <w:tcPr>
            <w:tcW w:w="2409" w:type="dxa"/>
            <w:vAlign w:val="center"/>
          </w:tcPr>
          <w:p>
            <w:pPr>
              <w:spacing w:before="120" w:line="280" w:lineRule="atLeast"/>
              <w:jc w:val="center"/>
              <w:textAlignment w:val="bottom"/>
            </w:pPr>
            <w:r>
              <w:rPr>
                <w:color w:val="000000"/>
                <w:szCs w:val="21"/>
                <w:lang w:bidi="ar"/>
              </w:rPr>
              <w:t>13.89%</w:t>
            </w:r>
          </w:p>
        </w:tc>
        <w:tc>
          <w:tcPr>
            <w:tcW w:w="2514" w:type="dxa"/>
            <w:vAlign w:val="bottom"/>
          </w:tcPr>
          <w:p>
            <w:pPr>
              <w:spacing w:before="120" w:line="280" w:lineRule="atLeast"/>
              <w:jc w:val="center"/>
              <w:textAlignment w:val="bottom"/>
            </w:pPr>
            <w:r>
              <w:rPr>
                <w:color w:val="000000"/>
                <w:szCs w:val="21"/>
                <w:lang w:bidi="ar"/>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7</w:t>
            </w:r>
          </w:p>
        </w:tc>
        <w:tc>
          <w:tcPr>
            <w:tcW w:w="2184" w:type="dxa"/>
            <w:vAlign w:val="bottom"/>
          </w:tcPr>
          <w:p>
            <w:pPr>
              <w:spacing w:before="120" w:line="280" w:lineRule="atLeast"/>
              <w:jc w:val="center"/>
              <w:textAlignment w:val="bottom"/>
            </w:pPr>
            <w:r>
              <w:rPr>
                <w:color w:val="000000"/>
                <w:szCs w:val="21"/>
                <w:lang w:bidi="ar"/>
              </w:rPr>
              <w:t>4.49%</w:t>
            </w:r>
          </w:p>
        </w:tc>
        <w:tc>
          <w:tcPr>
            <w:tcW w:w="2409" w:type="dxa"/>
            <w:vAlign w:val="center"/>
          </w:tcPr>
          <w:p>
            <w:pPr>
              <w:spacing w:before="120" w:line="280" w:lineRule="atLeast"/>
              <w:jc w:val="center"/>
              <w:textAlignment w:val="bottom"/>
            </w:pPr>
            <w:r>
              <w:rPr>
                <w:color w:val="000000"/>
                <w:szCs w:val="21"/>
                <w:lang w:bidi="ar"/>
              </w:rPr>
              <w:t>14.24%</w:t>
            </w:r>
          </w:p>
        </w:tc>
        <w:tc>
          <w:tcPr>
            <w:tcW w:w="2514" w:type="dxa"/>
            <w:vAlign w:val="bottom"/>
          </w:tcPr>
          <w:p>
            <w:pPr>
              <w:spacing w:before="120" w:line="280" w:lineRule="atLeast"/>
              <w:jc w:val="center"/>
              <w:textAlignment w:val="bottom"/>
            </w:pPr>
            <w:r>
              <w:rPr>
                <w:color w:val="000000"/>
                <w:szCs w:val="21"/>
                <w:lang w:bidi="ar"/>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8</w:t>
            </w:r>
          </w:p>
        </w:tc>
        <w:tc>
          <w:tcPr>
            <w:tcW w:w="2184" w:type="dxa"/>
            <w:vAlign w:val="bottom"/>
          </w:tcPr>
          <w:p>
            <w:pPr>
              <w:spacing w:before="120" w:line="280" w:lineRule="atLeast"/>
              <w:jc w:val="center"/>
              <w:textAlignment w:val="bottom"/>
            </w:pPr>
            <w:r>
              <w:rPr>
                <w:color w:val="000000"/>
                <w:szCs w:val="21"/>
                <w:lang w:bidi="ar"/>
              </w:rPr>
              <w:t>4.53%</w:t>
            </w:r>
          </w:p>
        </w:tc>
        <w:tc>
          <w:tcPr>
            <w:tcW w:w="2409" w:type="dxa"/>
            <w:vAlign w:val="center"/>
          </w:tcPr>
          <w:p>
            <w:pPr>
              <w:spacing w:before="120" w:line="280" w:lineRule="atLeast"/>
              <w:jc w:val="center"/>
              <w:textAlignment w:val="bottom"/>
            </w:pPr>
            <w:r>
              <w:rPr>
                <w:color w:val="000000"/>
                <w:szCs w:val="21"/>
                <w:lang w:bidi="ar"/>
              </w:rPr>
              <w:t>14.47%</w:t>
            </w:r>
          </w:p>
        </w:tc>
        <w:tc>
          <w:tcPr>
            <w:tcW w:w="2514" w:type="dxa"/>
            <w:vAlign w:val="bottom"/>
          </w:tcPr>
          <w:p>
            <w:pPr>
              <w:spacing w:before="120" w:line="280" w:lineRule="atLeast"/>
              <w:jc w:val="center"/>
              <w:textAlignment w:val="bottom"/>
            </w:pPr>
            <w:r>
              <w:rPr>
                <w:color w:val="000000"/>
                <w:szCs w:val="21"/>
                <w:lang w:bidi="ar"/>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9</w:t>
            </w:r>
          </w:p>
        </w:tc>
        <w:tc>
          <w:tcPr>
            <w:tcW w:w="2184" w:type="dxa"/>
            <w:vAlign w:val="bottom"/>
          </w:tcPr>
          <w:p>
            <w:pPr>
              <w:spacing w:before="120" w:line="280" w:lineRule="atLeast"/>
              <w:jc w:val="center"/>
              <w:textAlignment w:val="bottom"/>
            </w:pPr>
            <w:r>
              <w:rPr>
                <w:color w:val="000000"/>
                <w:szCs w:val="21"/>
                <w:lang w:bidi="ar"/>
              </w:rPr>
              <w:t>4.50%</w:t>
            </w:r>
          </w:p>
        </w:tc>
        <w:tc>
          <w:tcPr>
            <w:tcW w:w="2409" w:type="dxa"/>
            <w:vAlign w:val="center"/>
          </w:tcPr>
          <w:p>
            <w:pPr>
              <w:spacing w:before="120" w:line="280" w:lineRule="atLeast"/>
              <w:jc w:val="center"/>
              <w:textAlignment w:val="bottom"/>
            </w:pPr>
            <w:r>
              <w:rPr>
                <w:color w:val="000000"/>
                <w:szCs w:val="21"/>
                <w:lang w:bidi="ar"/>
              </w:rPr>
              <w:t>14.61%</w:t>
            </w:r>
          </w:p>
        </w:tc>
        <w:tc>
          <w:tcPr>
            <w:tcW w:w="2514" w:type="dxa"/>
            <w:vAlign w:val="bottom"/>
          </w:tcPr>
          <w:p>
            <w:pPr>
              <w:spacing w:before="120" w:line="280" w:lineRule="atLeast"/>
              <w:jc w:val="center"/>
              <w:textAlignment w:val="bottom"/>
            </w:pPr>
            <w:r>
              <w:rPr>
                <w:color w:val="000000"/>
                <w:szCs w:val="21"/>
                <w:lang w:bidi="ar"/>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10</w:t>
            </w:r>
          </w:p>
        </w:tc>
        <w:tc>
          <w:tcPr>
            <w:tcW w:w="2184" w:type="dxa"/>
            <w:vAlign w:val="bottom"/>
          </w:tcPr>
          <w:p>
            <w:pPr>
              <w:spacing w:before="120" w:line="280" w:lineRule="atLeast"/>
              <w:jc w:val="center"/>
              <w:textAlignment w:val="bottom"/>
            </w:pPr>
            <w:r>
              <w:rPr>
                <w:color w:val="000000"/>
                <w:szCs w:val="21"/>
                <w:lang w:bidi="ar"/>
              </w:rPr>
              <w:t>4.44%</w:t>
            </w:r>
          </w:p>
        </w:tc>
        <w:tc>
          <w:tcPr>
            <w:tcW w:w="2409" w:type="dxa"/>
            <w:vAlign w:val="center"/>
          </w:tcPr>
          <w:p>
            <w:pPr>
              <w:spacing w:before="120" w:line="280" w:lineRule="atLeast"/>
              <w:jc w:val="center"/>
              <w:textAlignment w:val="bottom"/>
            </w:pPr>
            <w:r>
              <w:rPr>
                <w:color w:val="000000"/>
                <w:szCs w:val="21"/>
                <w:lang w:bidi="ar"/>
              </w:rPr>
              <w:t>14.63%</w:t>
            </w:r>
          </w:p>
        </w:tc>
        <w:tc>
          <w:tcPr>
            <w:tcW w:w="2514" w:type="dxa"/>
            <w:vAlign w:val="bottom"/>
          </w:tcPr>
          <w:p>
            <w:pPr>
              <w:spacing w:before="120" w:line="280" w:lineRule="atLeast"/>
              <w:jc w:val="center"/>
              <w:textAlignment w:val="bottom"/>
            </w:pPr>
            <w:r>
              <w:rPr>
                <w:color w:val="000000"/>
                <w:szCs w:val="21"/>
                <w:lang w:bidi="ar"/>
              </w:rPr>
              <w:t>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11</w:t>
            </w:r>
          </w:p>
        </w:tc>
        <w:tc>
          <w:tcPr>
            <w:tcW w:w="2184" w:type="dxa"/>
            <w:vAlign w:val="bottom"/>
          </w:tcPr>
          <w:p>
            <w:pPr>
              <w:spacing w:before="120" w:line="280" w:lineRule="atLeast"/>
              <w:jc w:val="center"/>
              <w:textAlignment w:val="bottom"/>
            </w:pPr>
            <w:r>
              <w:rPr>
                <w:color w:val="000000"/>
                <w:szCs w:val="21"/>
                <w:lang w:bidi="ar"/>
              </w:rPr>
              <w:t>4.38%</w:t>
            </w:r>
          </w:p>
        </w:tc>
        <w:tc>
          <w:tcPr>
            <w:tcW w:w="2409" w:type="dxa"/>
            <w:vAlign w:val="center"/>
          </w:tcPr>
          <w:p>
            <w:pPr>
              <w:spacing w:before="120" w:line="280" w:lineRule="atLeast"/>
              <w:jc w:val="center"/>
              <w:textAlignment w:val="bottom"/>
            </w:pPr>
            <w:r>
              <w:rPr>
                <w:color w:val="000000"/>
                <w:szCs w:val="21"/>
                <w:lang w:bidi="ar"/>
              </w:rPr>
              <w:t>14.58%</w:t>
            </w:r>
          </w:p>
        </w:tc>
        <w:tc>
          <w:tcPr>
            <w:tcW w:w="2514" w:type="dxa"/>
            <w:vAlign w:val="bottom"/>
          </w:tcPr>
          <w:p>
            <w:pPr>
              <w:spacing w:before="120" w:line="280" w:lineRule="atLeast"/>
              <w:jc w:val="center"/>
              <w:textAlignment w:val="bottom"/>
            </w:pPr>
            <w:r>
              <w:rPr>
                <w:color w:val="000000"/>
                <w:szCs w:val="21"/>
                <w:lang w:bidi="ar"/>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12</w:t>
            </w:r>
          </w:p>
        </w:tc>
        <w:tc>
          <w:tcPr>
            <w:tcW w:w="2184" w:type="dxa"/>
            <w:vAlign w:val="bottom"/>
          </w:tcPr>
          <w:p>
            <w:pPr>
              <w:spacing w:before="120" w:line="280" w:lineRule="atLeast"/>
              <w:jc w:val="center"/>
              <w:textAlignment w:val="bottom"/>
            </w:pPr>
            <w:r>
              <w:rPr>
                <w:color w:val="000000"/>
                <w:szCs w:val="21"/>
                <w:lang w:bidi="ar"/>
              </w:rPr>
              <w:t>4.29%</w:t>
            </w:r>
          </w:p>
        </w:tc>
        <w:tc>
          <w:tcPr>
            <w:tcW w:w="2409" w:type="dxa"/>
            <w:vAlign w:val="center"/>
          </w:tcPr>
          <w:p>
            <w:pPr>
              <w:spacing w:before="120" w:line="280" w:lineRule="atLeast"/>
              <w:jc w:val="center"/>
              <w:textAlignment w:val="bottom"/>
            </w:pPr>
            <w:r>
              <w:rPr>
                <w:color w:val="000000"/>
                <w:szCs w:val="21"/>
                <w:lang w:bidi="ar"/>
              </w:rPr>
              <w:t>14.46%</w:t>
            </w:r>
          </w:p>
        </w:tc>
        <w:tc>
          <w:tcPr>
            <w:tcW w:w="2514" w:type="dxa"/>
            <w:vAlign w:val="bottom"/>
          </w:tcPr>
          <w:p>
            <w:pPr>
              <w:spacing w:before="120" w:line="280" w:lineRule="atLeast"/>
              <w:jc w:val="center"/>
              <w:textAlignment w:val="bottom"/>
            </w:pPr>
            <w:r>
              <w:rPr>
                <w:color w:val="000000"/>
                <w:szCs w:val="21"/>
                <w:lang w:bidi="ar"/>
              </w:rPr>
              <w:t>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13</w:t>
            </w:r>
          </w:p>
        </w:tc>
        <w:tc>
          <w:tcPr>
            <w:tcW w:w="2184" w:type="dxa"/>
            <w:vAlign w:val="bottom"/>
          </w:tcPr>
          <w:p>
            <w:pPr>
              <w:spacing w:before="120" w:line="280" w:lineRule="atLeast"/>
              <w:jc w:val="center"/>
              <w:textAlignment w:val="bottom"/>
            </w:pPr>
            <w:r>
              <w:rPr>
                <w:color w:val="000000"/>
                <w:szCs w:val="21"/>
                <w:lang w:bidi="ar"/>
              </w:rPr>
              <w:t>4.25%</w:t>
            </w:r>
          </w:p>
        </w:tc>
        <w:tc>
          <w:tcPr>
            <w:tcW w:w="2409" w:type="dxa"/>
            <w:vAlign w:val="center"/>
          </w:tcPr>
          <w:p>
            <w:pPr>
              <w:spacing w:before="120" w:line="280" w:lineRule="atLeast"/>
              <w:jc w:val="center"/>
              <w:textAlignment w:val="bottom"/>
            </w:pPr>
            <w:r>
              <w:rPr>
                <w:color w:val="000000"/>
                <w:szCs w:val="21"/>
                <w:lang w:bidi="ar"/>
              </w:rPr>
              <w:t>14.36%</w:t>
            </w:r>
          </w:p>
        </w:tc>
        <w:tc>
          <w:tcPr>
            <w:tcW w:w="2514" w:type="dxa"/>
            <w:vAlign w:val="bottom"/>
          </w:tcPr>
          <w:p>
            <w:pPr>
              <w:spacing w:before="120" w:line="280" w:lineRule="atLeast"/>
              <w:jc w:val="center"/>
              <w:textAlignment w:val="bottom"/>
            </w:pPr>
            <w:r>
              <w:rPr>
                <w:color w:val="000000"/>
                <w:szCs w:val="21"/>
                <w:lang w:bidi="ar"/>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14</w:t>
            </w:r>
          </w:p>
        </w:tc>
        <w:tc>
          <w:tcPr>
            <w:tcW w:w="2184" w:type="dxa"/>
            <w:vAlign w:val="bottom"/>
          </w:tcPr>
          <w:p>
            <w:pPr>
              <w:spacing w:before="120" w:line="280" w:lineRule="atLeast"/>
              <w:jc w:val="center"/>
              <w:textAlignment w:val="bottom"/>
            </w:pPr>
            <w:r>
              <w:rPr>
                <w:color w:val="000000"/>
                <w:szCs w:val="21"/>
                <w:lang w:bidi="ar"/>
              </w:rPr>
              <w:t>4.16%</w:t>
            </w:r>
          </w:p>
        </w:tc>
        <w:tc>
          <w:tcPr>
            <w:tcW w:w="2409" w:type="dxa"/>
            <w:vAlign w:val="center"/>
          </w:tcPr>
          <w:p>
            <w:pPr>
              <w:spacing w:before="120" w:line="280" w:lineRule="atLeast"/>
              <w:jc w:val="center"/>
              <w:textAlignment w:val="bottom"/>
            </w:pPr>
            <w:r>
              <w:rPr>
                <w:color w:val="000000"/>
                <w:szCs w:val="21"/>
                <w:lang w:bidi="ar"/>
              </w:rPr>
              <w:t>14.10%</w:t>
            </w:r>
          </w:p>
        </w:tc>
        <w:tc>
          <w:tcPr>
            <w:tcW w:w="2514" w:type="dxa"/>
            <w:vAlign w:val="bottom"/>
          </w:tcPr>
          <w:p>
            <w:pPr>
              <w:spacing w:before="120" w:line="280" w:lineRule="atLeast"/>
              <w:jc w:val="center"/>
              <w:textAlignment w:val="bottom"/>
            </w:pPr>
            <w:r>
              <w:rPr>
                <w:color w:val="000000"/>
                <w:szCs w:val="21"/>
                <w:lang w:bidi="ar"/>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15</w:t>
            </w:r>
          </w:p>
        </w:tc>
        <w:tc>
          <w:tcPr>
            <w:tcW w:w="2184" w:type="dxa"/>
            <w:vAlign w:val="bottom"/>
          </w:tcPr>
          <w:p>
            <w:pPr>
              <w:spacing w:before="120" w:line="280" w:lineRule="atLeast"/>
              <w:jc w:val="center"/>
              <w:textAlignment w:val="bottom"/>
            </w:pPr>
            <w:r>
              <w:rPr>
                <w:color w:val="000000"/>
                <w:szCs w:val="21"/>
                <w:lang w:bidi="ar"/>
              </w:rPr>
              <w:t>4.14%</w:t>
            </w:r>
          </w:p>
        </w:tc>
        <w:tc>
          <w:tcPr>
            <w:tcW w:w="2409" w:type="dxa"/>
            <w:vAlign w:val="center"/>
          </w:tcPr>
          <w:p>
            <w:pPr>
              <w:spacing w:before="120" w:line="280" w:lineRule="atLeast"/>
              <w:jc w:val="center"/>
              <w:textAlignment w:val="bottom"/>
            </w:pPr>
            <w:r>
              <w:rPr>
                <w:color w:val="000000"/>
                <w:szCs w:val="21"/>
                <w:lang w:bidi="ar"/>
              </w:rPr>
              <w:t>13.91%</w:t>
            </w:r>
          </w:p>
        </w:tc>
        <w:tc>
          <w:tcPr>
            <w:tcW w:w="2514" w:type="dxa"/>
            <w:vAlign w:val="bottom"/>
          </w:tcPr>
          <w:p>
            <w:pPr>
              <w:spacing w:before="120" w:line="280" w:lineRule="atLeast"/>
              <w:jc w:val="center"/>
              <w:textAlignment w:val="bottom"/>
            </w:pPr>
            <w:r>
              <w:rPr>
                <w:color w:val="000000"/>
                <w:szCs w:val="21"/>
                <w:lang w:bidi="ar"/>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16</w:t>
            </w:r>
          </w:p>
        </w:tc>
        <w:tc>
          <w:tcPr>
            <w:tcW w:w="2184" w:type="dxa"/>
            <w:vAlign w:val="bottom"/>
          </w:tcPr>
          <w:p>
            <w:pPr>
              <w:spacing w:before="120" w:line="280" w:lineRule="atLeast"/>
              <w:jc w:val="center"/>
              <w:textAlignment w:val="bottom"/>
            </w:pPr>
            <w:r>
              <w:rPr>
                <w:color w:val="000000"/>
                <w:szCs w:val="21"/>
                <w:lang w:bidi="ar"/>
              </w:rPr>
              <w:t>4.00%</w:t>
            </w:r>
          </w:p>
        </w:tc>
        <w:tc>
          <w:tcPr>
            <w:tcW w:w="2409" w:type="dxa"/>
            <w:vAlign w:val="center"/>
          </w:tcPr>
          <w:p>
            <w:pPr>
              <w:spacing w:before="120" w:line="280" w:lineRule="atLeast"/>
              <w:jc w:val="center"/>
              <w:textAlignment w:val="bottom"/>
            </w:pPr>
            <w:r>
              <w:rPr>
                <w:color w:val="000000"/>
                <w:szCs w:val="21"/>
                <w:lang w:bidi="ar"/>
              </w:rPr>
              <w:t>13.69%</w:t>
            </w:r>
          </w:p>
        </w:tc>
        <w:tc>
          <w:tcPr>
            <w:tcW w:w="2514" w:type="dxa"/>
            <w:vAlign w:val="bottom"/>
          </w:tcPr>
          <w:p>
            <w:pPr>
              <w:spacing w:before="120" w:line="280" w:lineRule="atLeast"/>
              <w:jc w:val="center"/>
              <w:textAlignment w:val="bottom"/>
            </w:pPr>
            <w:r>
              <w:rPr>
                <w:color w:val="000000"/>
                <w:szCs w:val="21"/>
                <w:lang w:bidi="ar"/>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17</w:t>
            </w:r>
          </w:p>
        </w:tc>
        <w:tc>
          <w:tcPr>
            <w:tcW w:w="2184" w:type="dxa"/>
            <w:vAlign w:val="bottom"/>
          </w:tcPr>
          <w:p>
            <w:pPr>
              <w:spacing w:before="120" w:line="280" w:lineRule="atLeast"/>
              <w:jc w:val="center"/>
              <w:textAlignment w:val="bottom"/>
            </w:pPr>
            <w:r>
              <w:rPr>
                <w:color w:val="000000"/>
                <w:szCs w:val="21"/>
                <w:lang w:bidi="ar"/>
              </w:rPr>
              <w:t>3.93%</w:t>
            </w:r>
          </w:p>
        </w:tc>
        <w:tc>
          <w:tcPr>
            <w:tcW w:w="2409" w:type="dxa"/>
            <w:vAlign w:val="center"/>
          </w:tcPr>
          <w:p>
            <w:pPr>
              <w:spacing w:before="120" w:line="280" w:lineRule="atLeast"/>
              <w:jc w:val="center"/>
              <w:textAlignment w:val="bottom"/>
            </w:pPr>
            <w:r>
              <w:rPr>
                <w:color w:val="000000"/>
                <w:szCs w:val="21"/>
                <w:lang w:bidi="ar"/>
              </w:rPr>
              <w:t>13.44%</w:t>
            </w:r>
          </w:p>
        </w:tc>
        <w:tc>
          <w:tcPr>
            <w:tcW w:w="2514" w:type="dxa"/>
            <w:vAlign w:val="bottom"/>
          </w:tcPr>
          <w:p>
            <w:pPr>
              <w:spacing w:before="120" w:line="280" w:lineRule="atLeast"/>
              <w:jc w:val="center"/>
              <w:textAlignment w:val="bottom"/>
            </w:pPr>
            <w:r>
              <w:rPr>
                <w:color w:val="000000"/>
                <w:szCs w:val="21"/>
                <w:lang w:bidi="ar"/>
              </w:rPr>
              <w:t>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18</w:t>
            </w:r>
          </w:p>
        </w:tc>
        <w:tc>
          <w:tcPr>
            <w:tcW w:w="2184" w:type="dxa"/>
            <w:vAlign w:val="bottom"/>
          </w:tcPr>
          <w:p>
            <w:pPr>
              <w:spacing w:before="120" w:line="280" w:lineRule="atLeast"/>
              <w:jc w:val="center"/>
              <w:textAlignment w:val="bottom"/>
            </w:pPr>
            <w:r>
              <w:rPr>
                <w:color w:val="000000"/>
                <w:szCs w:val="21"/>
                <w:lang w:bidi="ar"/>
              </w:rPr>
              <w:t>3.86%</w:t>
            </w:r>
          </w:p>
        </w:tc>
        <w:tc>
          <w:tcPr>
            <w:tcW w:w="2409" w:type="dxa"/>
            <w:vAlign w:val="center"/>
          </w:tcPr>
          <w:p>
            <w:pPr>
              <w:spacing w:before="120" w:line="280" w:lineRule="atLeast"/>
              <w:jc w:val="center"/>
              <w:textAlignment w:val="bottom"/>
            </w:pPr>
            <w:r>
              <w:rPr>
                <w:color w:val="000000"/>
                <w:szCs w:val="21"/>
                <w:lang w:bidi="ar"/>
              </w:rPr>
              <w:t>13.17%</w:t>
            </w:r>
          </w:p>
        </w:tc>
        <w:tc>
          <w:tcPr>
            <w:tcW w:w="2514" w:type="dxa"/>
            <w:vAlign w:val="bottom"/>
          </w:tcPr>
          <w:p>
            <w:pPr>
              <w:spacing w:before="120" w:line="280" w:lineRule="atLeast"/>
              <w:jc w:val="center"/>
              <w:textAlignment w:val="bottom"/>
            </w:pPr>
            <w:r>
              <w:rPr>
                <w:color w:val="000000"/>
                <w:szCs w:val="21"/>
                <w:lang w:bidi="ar"/>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19</w:t>
            </w:r>
          </w:p>
        </w:tc>
        <w:tc>
          <w:tcPr>
            <w:tcW w:w="2184" w:type="dxa"/>
            <w:vAlign w:val="bottom"/>
          </w:tcPr>
          <w:p>
            <w:pPr>
              <w:spacing w:before="120" w:line="280" w:lineRule="atLeast"/>
              <w:jc w:val="center"/>
              <w:textAlignment w:val="bottom"/>
            </w:pPr>
            <w:r>
              <w:rPr>
                <w:color w:val="000000"/>
                <w:szCs w:val="21"/>
                <w:lang w:bidi="ar"/>
              </w:rPr>
              <w:t>3.77%</w:t>
            </w:r>
          </w:p>
        </w:tc>
        <w:tc>
          <w:tcPr>
            <w:tcW w:w="2409" w:type="dxa"/>
            <w:vAlign w:val="center"/>
          </w:tcPr>
          <w:p>
            <w:pPr>
              <w:spacing w:before="120" w:line="280" w:lineRule="atLeast"/>
              <w:jc w:val="center"/>
              <w:textAlignment w:val="bottom"/>
            </w:pPr>
            <w:r>
              <w:rPr>
                <w:color w:val="000000"/>
                <w:szCs w:val="21"/>
                <w:lang w:bidi="ar"/>
              </w:rPr>
              <w:t>12.92%</w:t>
            </w:r>
          </w:p>
        </w:tc>
        <w:tc>
          <w:tcPr>
            <w:tcW w:w="2514" w:type="dxa"/>
            <w:vAlign w:val="bottom"/>
          </w:tcPr>
          <w:p>
            <w:pPr>
              <w:spacing w:before="120" w:line="280" w:lineRule="atLeast"/>
              <w:jc w:val="center"/>
              <w:textAlignment w:val="bottom"/>
            </w:pPr>
            <w:r>
              <w:rPr>
                <w:color w:val="000000"/>
                <w:szCs w:val="21"/>
                <w:lang w:bidi="ar"/>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97" w:type="dxa"/>
            <w:vAlign w:val="center"/>
          </w:tcPr>
          <w:p>
            <w:pPr>
              <w:spacing w:before="120" w:line="280" w:lineRule="atLeast"/>
              <w:jc w:val="center"/>
            </w:pPr>
            <w:r>
              <w:rPr>
                <w:rFonts w:hint="eastAsia"/>
              </w:rPr>
              <w:t>20</w:t>
            </w:r>
          </w:p>
        </w:tc>
        <w:tc>
          <w:tcPr>
            <w:tcW w:w="2184" w:type="dxa"/>
            <w:vAlign w:val="bottom"/>
          </w:tcPr>
          <w:p>
            <w:pPr>
              <w:spacing w:before="120" w:line="280" w:lineRule="atLeast"/>
              <w:jc w:val="center"/>
              <w:textAlignment w:val="bottom"/>
            </w:pPr>
            <w:r>
              <w:rPr>
                <w:color w:val="000000"/>
                <w:szCs w:val="21"/>
                <w:lang w:bidi="ar"/>
              </w:rPr>
              <w:t>3.70%</w:t>
            </w:r>
          </w:p>
        </w:tc>
        <w:tc>
          <w:tcPr>
            <w:tcW w:w="2409" w:type="dxa"/>
            <w:vAlign w:val="center"/>
          </w:tcPr>
          <w:p>
            <w:pPr>
              <w:spacing w:before="120" w:line="280" w:lineRule="atLeast"/>
              <w:jc w:val="center"/>
              <w:textAlignment w:val="bottom"/>
            </w:pPr>
            <w:r>
              <w:rPr>
                <w:color w:val="000000"/>
                <w:szCs w:val="21"/>
                <w:lang w:bidi="ar"/>
              </w:rPr>
              <w:t>12.65%</w:t>
            </w:r>
          </w:p>
        </w:tc>
        <w:tc>
          <w:tcPr>
            <w:tcW w:w="2514" w:type="dxa"/>
            <w:vAlign w:val="bottom"/>
          </w:tcPr>
          <w:p>
            <w:pPr>
              <w:spacing w:before="120" w:line="280" w:lineRule="atLeast"/>
              <w:jc w:val="center"/>
              <w:textAlignment w:val="bottom"/>
            </w:pPr>
            <w:r>
              <w:rPr>
                <w:color w:val="000000"/>
                <w:szCs w:val="21"/>
                <w:lang w:bidi="ar"/>
              </w:rPr>
              <w:t>8.95%</w:t>
            </w:r>
          </w:p>
        </w:tc>
      </w:tr>
    </w:tbl>
    <w:p>
      <w:pPr>
        <w:spacing w:before="120" w:beforeLines="50" w:after="137" w:afterLines="50"/>
      </w:pPr>
      <w:r>
        <w:rPr>
          <w:rFonts w:hint="eastAsia"/>
        </w:rPr>
        <w:t xml:space="preserve">According to the simulation results listed in Table 2, the gain of </w:t>
      </w:r>
      <w:r>
        <w:rPr>
          <w:rFonts w:hint="eastAsia"/>
          <w:color w:val="000000"/>
        </w:rPr>
        <w:t>c</w:t>
      </w:r>
      <w:r>
        <w:rPr>
          <w:rFonts w:eastAsia="Times New Roman"/>
          <w:color w:val="000000"/>
        </w:rPr>
        <w:t xml:space="preserve">ase </w:t>
      </w:r>
      <w:r>
        <w:rPr>
          <w:rFonts w:hint="eastAsia"/>
          <w:color w:val="000000"/>
        </w:rPr>
        <w:t>Ⅲ</w:t>
      </w:r>
      <w:r>
        <w:rPr>
          <w:rFonts w:hint="eastAsia"/>
        </w:rPr>
        <w:t xml:space="preserve"> is 1.19%~10.20% compare</w:t>
      </w:r>
      <w:r>
        <w:t>d</w:t>
      </w:r>
      <w:r>
        <w:rPr>
          <w:rFonts w:hint="eastAsia"/>
        </w:rPr>
        <w:t xml:space="preserve"> with </w:t>
      </w:r>
      <w:r>
        <w:rPr>
          <w:rFonts w:hint="eastAsia"/>
          <w:color w:val="000000"/>
        </w:rPr>
        <w:t>c</w:t>
      </w:r>
      <w:r>
        <w:rPr>
          <w:rFonts w:eastAsia="Times New Roman"/>
          <w:color w:val="000000"/>
        </w:rPr>
        <w:t xml:space="preserve">ase </w:t>
      </w:r>
      <w:r>
        <w:rPr>
          <w:rFonts w:hint="eastAsia"/>
          <w:color w:val="000000"/>
        </w:rPr>
        <w:t>Ⅱ</w:t>
      </w:r>
      <w:r>
        <w:rPr>
          <w:rFonts w:hint="eastAsia"/>
        </w:rPr>
        <w:t xml:space="preserve">. </w:t>
      </w:r>
      <w:r>
        <w:t>Extending the number of joint scheduling cells can further enhance uplink or downlink transmission performance. It can be predicted that the scenario where both uplink and downlink CA are enabled has a greater gain.</w:t>
      </w:r>
      <w:r>
        <w:rPr>
          <w:rFonts w:hint="eastAsia"/>
        </w:rPr>
        <w:t xml:space="preserve"> However, sharing more CCs with one DCI means that </w:t>
      </w:r>
      <w:r>
        <w:rPr>
          <w:rFonts w:hint="eastAsia"/>
          <w:lang w:val="en-US" w:eastAsia="zh-CN"/>
        </w:rPr>
        <w:t xml:space="preserve">the scheduling for </w:t>
      </w:r>
      <w:r>
        <w:rPr>
          <w:rFonts w:hint="eastAsia"/>
        </w:rPr>
        <w:t>more CCs are restricted. Therefore, the scheduling flexibility and the number of extended CCs should be balanced.</w:t>
      </w:r>
    </w:p>
    <w:p>
      <w:pPr>
        <w:snapToGrid w:val="0"/>
        <w:spacing w:before="120" w:beforeLines="50" w:after="120" w:afterLines="50"/>
        <w:rPr>
          <w:i/>
        </w:rPr>
      </w:pPr>
      <w:r>
        <w:rPr>
          <w:rFonts w:hint="eastAsia"/>
          <w:b/>
          <w:i/>
        </w:rPr>
        <w:t>O</w:t>
      </w:r>
      <w:r>
        <w:rPr>
          <w:b/>
          <w:i/>
        </w:rPr>
        <w:t>bservation</w:t>
      </w:r>
      <w:r>
        <w:rPr>
          <w:rFonts w:hint="eastAsia"/>
          <w:b/>
          <w:i/>
        </w:rPr>
        <w:t xml:space="preserve"> 2</w:t>
      </w:r>
      <w:r>
        <w:rPr>
          <w:i/>
        </w:rPr>
        <w:t xml:space="preserve">: The </w:t>
      </w:r>
      <w:r>
        <w:rPr>
          <w:rFonts w:hint="eastAsia"/>
          <w:i/>
          <w:lang w:val="en-US" w:eastAsia="zh-CN"/>
        </w:rPr>
        <w:t xml:space="preserve">PDCCH </w:t>
      </w:r>
      <w:r>
        <w:rPr>
          <w:i/>
        </w:rPr>
        <w:t xml:space="preserve">blocking rate </w:t>
      </w:r>
      <w:r>
        <w:rPr>
          <w:rFonts w:hint="eastAsia"/>
          <w:i/>
        </w:rPr>
        <w:t>of joint scheduling</w:t>
      </w:r>
      <w:r>
        <w:rPr>
          <w:i/>
        </w:rPr>
        <w:t xml:space="preserve"> </w:t>
      </w:r>
      <w:r>
        <w:rPr>
          <w:rFonts w:hint="eastAsia"/>
          <w:i/>
          <w:lang w:val="en-US" w:eastAsia="zh-CN"/>
        </w:rPr>
        <w:t>can be further reduced</w:t>
      </w:r>
      <w:r>
        <w:rPr>
          <w:i/>
        </w:rPr>
        <w:t xml:space="preserve"> </w:t>
      </w:r>
      <w:r>
        <w:rPr>
          <w:rFonts w:hint="eastAsia"/>
          <w:i/>
        </w:rPr>
        <w:t xml:space="preserve">by </w:t>
      </w:r>
      <w:r>
        <w:rPr>
          <w:i/>
        </w:rPr>
        <w:t>1.19%~10.20% after</w:t>
      </w:r>
      <w:r>
        <w:rPr>
          <w:rFonts w:hint="eastAsia"/>
          <w:i/>
        </w:rPr>
        <w:t xml:space="preserve"> e</w:t>
      </w:r>
      <w:r>
        <w:rPr>
          <w:i/>
        </w:rPr>
        <w:t>xtending the number of joint scheduled cells to 3</w:t>
      </w:r>
      <w:r>
        <w:rPr>
          <w:rFonts w:hint="eastAsia"/>
          <w:i/>
        </w:rPr>
        <w:t>.</w:t>
      </w:r>
    </w:p>
    <w:p>
      <w:pPr>
        <w:rPr>
          <w:lang w:val="en-GB"/>
        </w:rPr>
      </w:pPr>
    </w:p>
    <w:p>
      <w:pPr>
        <w:pStyle w:val="2"/>
      </w:pPr>
      <w:r>
        <w:rPr>
          <w:rFonts w:hint="eastAsia"/>
        </w:rPr>
        <w:t>C</w:t>
      </w:r>
      <w:r>
        <w:t>onclusion</w:t>
      </w:r>
    </w:p>
    <w:p>
      <w:pPr>
        <w:rPr>
          <w:lang w:val="en-GB"/>
        </w:rPr>
      </w:pPr>
      <w:r>
        <w:rPr>
          <w:rFonts w:hint="eastAsia"/>
          <w:lang w:val="en-GB"/>
        </w:rPr>
        <w:t>I</w:t>
      </w:r>
      <w:r>
        <w:rPr>
          <w:lang w:val="en-GB"/>
        </w:rPr>
        <w:t xml:space="preserve">n this contribution, analysis </w:t>
      </w:r>
      <w:r>
        <w:rPr>
          <w:rFonts w:hint="eastAsia"/>
        </w:rPr>
        <w:t xml:space="preserve">and simulation for multi-cell scheduling for both uplink and downlink </w:t>
      </w:r>
      <w:r>
        <w:rPr>
          <w:lang w:val="en-GB"/>
        </w:rPr>
        <w:t xml:space="preserve">are presented with the following observations. </w:t>
      </w:r>
    </w:p>
    <w:p>
      <w:pPr>
        <w:snapToGrid w:val="0"/>
        <w:spacing w:before="120" w:beforeLines="50" w:after="120" w:afterLines="50"/>
        <w:rPr>
          <w:i/>
        </w:rPr>
      </w:pPr>
      <w:r>
        <w:rPr>
          <w:rFonts w:hint="eastAsia"/>
          <w:b/>
          <w:i/>
        </w:rPr>
        <w:t>O</w:t>
      </w:r>
      <w:r>
        <w:rPr>
          <w:b/>
          <w:i/>
        </w:rPr>
        <w:t>bservation</w:t>
      </w:r>
      <w:r>
        <w:rPr>
          <w:rFonts w:hint="eastAsia"/>
          <w:b/>
          <w:i/>
        </w:rPr>
        <w:t xml:space="preserve"> 1</w:t>
      </w:r>
      <w:r>
        <w:rPr>
          <w:i/>
        </w:rPr>
        <w:t xml:space="preserve">: Compared with one-to-two </w:t>
      </w:r>
      <w:r>
        <w:rPr>
          <w:b/>
          <w:i/>
        </w:rPr>
        <w:t>downlink</w:t>
      </w:r>
      <w:r>
        <w:rPr>
          <w:i/>
        </w:rPr>
        <w:t xml:space="preserve"> scheduling, the PDCCH blocking rate for enabling both one-to-two </w:t>
      </w:r>
      <w:r>
        <w:rPr>
          <w:b/>
          <w:i/>
        </w:rPr>
        <w:t>uplink</w:t>
      </w:r>
      <w:r>
        <w:rPr>
          <w:i/>
        </w:rPr>
        <w:t xml:space="preserve"> scheduling and one-to-two </w:t>
      </w:r>
      <w:r>
        <w:rPr>
          <w:b/>
          <w:i/>
        </w:rPr>
        <w:t>downlink</w:t>
      </w:r>
      <w:r>
        <w:rPr>
          <w:i/>
        </w:rPr>
        <w:t xml:space="preserve"> scheduling can be </w:t>
      </w:r>
      <w:r>
        <w:rPr>
          <w:rFonts w:hint="eastAsia"/>
          <w:i/>
          <w:lang w:val="en-US" w:eastAsia="zh-CN"/>
        </w:rPr>
        <w:t>further reduced</w:t>
      </w:r>
      <w:r>
        <w:rPr>
          <w:i/>
        </w:rPr>
        <w:t xml:space="preserve"> by about 5.6% ~ 9.1%. </w:t>
      </w:r>
    </w:p>
    <w:p>
      <w:pPr>
        <w:snapToGrid w:val="0"/>
        <w:spacing w:before="120" w:beforeLines="50" w:after="120" w:afterLines="50"/>
        <w:rPr>
          <w:i/>
        </w:rPr>
      </w:pPr>
      <w:r>
        <w:rPr>
          <w:rFonts w:hint="eastAsia"/>
          <w:b/>
          <w:i/>
        </w:rPr>
        <w:t>O</w:t>
      </w:r>
      <w:r>
        <w:rPr>
          <w:b/>
          <w:i/>
        </w:rPr>
        <w:t>bservation</w:t>
      </w:r>
      <w:r>
        <w:rPr>
          <w:rFonts w:hint="eastAsia"/>
          <w:b/>
          <w:i/>
        </w:rPr>
        <w:t xml:space="preserve"> 2</w:t>
      </w:r>
      <w:r>
        <w:rPr>
          <w:i/>
        </w:rPr>
        <w:t xml:space="preserve">: The </w:t>
      </w:r>
      <w:r>
        <w:rPr>
          <w:rFonts w:hint="eastAsia"/>
          <w:i/>
          <w:lang w:val="en-US" w:eastAsia="zh-CN"/>
        </w:rPr>
        <w:t xml:space="preserve">PDCCH </w:t>
      </w:r>
      <w:r>
        <w:rPr>
          <w:i/>
        </w:rPr>
        <w:t>blocking rate</w:t>
      </w:r>
      <w:r>
        <w:rPr>
          <w:rFonts w:hint="eastAsia"/>
          <w:i/>
          <w:lang w:val="en-US" w:eastAsia="zh-CN"/>
        </w:rPr>
        <w:t xml:space="preserve"> </w:t>
      </w:r>
      <w:r>
        <w:rPr>
          <w:rFonts w:hint="eastAsia"/>
          <w:i/>
        </w:rPr>
        <w:t>of joint scheduling</w:t>
      </w:r>
      <w:r>
        <w:rPr>
          <w:i/>
        </w:rPr>
        <w:t xml:space="preserve"> </w:t>
      </w:r>
      <w:r>
        <w:rPr>
          <w:rFonts w:hint="eastAsia"/>
          <w:i/>
          <w:lang w:val="en-US" w:eastAsia="zh-CN"/>
        </w:rPr>
        <w:t>can be further reduced</w:t>
      </w:r>
      <w:r>
        <w:rPr>
          <w:i/>
        </w:rPr>
        <w:t xml:space="preserve"> </w:t>
      </w:r>
      <w:r>
        <w:rPr>
          <w:rFonts w:hint="eastAsia"/>
          <w:i/>
        </w:rPr>
        <w:t xml:space="preserve">by </w:t>
      </w:r>
      <w:r>
        <w:rPr>
          <w:i/>
        </w:rPr>
        <w:t>1.19%~10.20% after</w:t>
      </w:r>
      <w:r>
        <w:rPr>
          <w:rFonts w:hint="eastAsia"/>
          <w:i/>
        </w:rPr>
        <w:t xml:space="preserve"> e</w:t>
      </w:r>
      <w:r>
        <w:rPr>
          <w:i/>
        </w:rPr>
        <w:t>xtending the number of joint scheduled cells to 3</w:t>
      </w:r>
      <w:r>
        <w:rPr>
          <w:rFonts w:hint="eastAsia"/>
          <w:i/>
        </w:rPr>
        <w:t>.</w:t>
      </w:r>
    </w:p>
    <w:p>
      <w:pPr>
        <w:pStyle w:val="2"/>
      </w:pPr>
      <w:r>
        <w:rPr>
          <w:rFonts w:hint="eastAsia"/>
        </w:rPr>
        <w:t>R</w:t>
      </w:r>
      <w:r>
        <w:t>eference</w:t>
      </w:r>
    </w:p>
    <w:p>
      <w:pPr>
        <w:pStyle w:val="126"/>
      </w:pPr>
      <w:r>
        <w:rPr>
          <w:lang w:val="en-GB"/>
        </w:rPr>
        <w:t>RP-193260, New WID on NR Dynamic spectrum sharing (DSS), RAN</w:t>
      </w:r>
      <w:r>
        <w:rPr>
          <w:rFonts w:hint="eastAsia"/>
        </w:rPr>
        <w:t xml:space="preserve"> </w:t>
      </w:r>
      <w:r>
        <w:rPr>
          <w:lang w:val="en-GB"/>
        </w:rPr>
        <w:t>#86.</w:t>
      </w:r>
    </w:p>
    <w:p>
      <w:pPr>
        <w:pStyle w:val="126"/>
      </w:pPr>
      <w:r>
        <w:rPr>
          <w:rFonts w:hint="eastAsia"/>
        </w:rPr>
        <w:t>R1-2100111,</w:t>
      </w:r>
      <w:r>
        <w:rPr>
          <w:rFonts w:hint="eastAsia"/>
        </w:rPr>
        <w:tab/>
      </w:r>
      <w:r>
        <w:rPr>
          <w:rFonts w:hint="eastAsia"/>
        </w:rPr>
        <w:t>Discussion on Multi-cell PDSCH Scheduling via a Single DCI, RAN</w:t>
      </w:r>
      <w:r>
        <w:rPr>
          <w:rFonts w:hint="eastAsia"/>
          <w:lang w:val="en-US" w:eastAsia="zh-CN"/>
        </w:rPr>
        <w:t>1</w:t>
      </w:r>
      <w:r>
        <w:rPr>
          <w:rFonts w:hint="eastAsia"/>
        </w:rPr>
        <w:t xml:space="preserve"> #104-e, ZTE</w:t>
      </w:r>
    </w:p>
    <w:p>
      <w:pPr>
        <w:pStyle w:val="126"/>
        <w:numPr>
          <w:ilvl w:val="0"/>
          <w:numId w:val="0"/>
        </w:numPr>
      </w:pPr>
    </w:p>
    <w:p>
      <w:pPr>
        <w:pStyle w:val="2"/>
        <w:keepNext w:val="0"/>
        <w:keepLines w:val="0"/>
        <w:numPr>
          <w:ilvl w:val="0"/>
          <w:numId w:val="0"/>
        </w:numPr>
        <w:tabs>
          <w:tab w:val="left" w:pos="432"/>
        </w:tabs>
        <w:snapToGrid w:val="0"/>
        <w:spacing w:after="120" w:afterLines="50"/>
        <w:rPr>
          <w:lang w:val="en-US"/>
        </w:rPr>
      </w:pPr>
      <w:r>
        <w:rPr>
          <w:lang w:val="en-US"/>
        </w:rPr>
        <w:t xml:space="preserve">Appendix </w:t>
      </w:r>
      <w:r>
        <w:t>Simulation assumption</w:t>
      </w:r>
      <w:r>
        <w:rPr>
          <w:rFonts w:hint="eastAsia"/>
          <w:lang w:val="en-US"/>
        </w:rPr>
        <w:t>s</w:t>
      </w:r>
    </w:p>
    <w:p>
      <w:pPr>
        <w:pStyle w:val="3"/>
      </w:pPr>
      <w:r>
        <w:rPr>
          <w:rFonts w:hint="eastAsia"/>
          <w:lang w:val="en-US"/>
        </w:rPr>
        <w:t>LLS and SLS assumption</w:t>
      </w:r>
    </w:p>
    <w:p>
      <w:pPr>
        <w:jc w:val="center"/>
      </w:pPr>
      <w:r>
        <w:rPr>
          <w:rFonts w:hint="eastAsia"/>
        </w:rPr>
        <w:t>Table A-1 PDCCH blocking rate s</w:t>
      </w:r>
      <w:r>
        <w:t xml:space="preserve">imulation </w:t>
      </w:r>
      <w:r>
        <w:rPr>
          <w:rFonts w:hint="eastAsia"/>
        </w:rPr>
        <w:t>a</w:t>
      </w:r>
      <w:r>
        <w:t>ssumptions</w:t>
      </w:r>
    </w:p>
    <w:tbl>
      <w:tblPr>
        <w:tblStyle w:val="51"/>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0"/>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70" w:type="dxa"/>
            <w:shd w:val="clear" w:color="auto" w:fill="BDD6EE" w:themeFill="accent1" w:themeFillTint="66"/>
          </w:tcPr>
          <w:p>
            <w:pPr>
              <w:snapToGrid w:val="0"/>
              <w:spacing w:before="120" w:line="280" w:lineRule="atLeast"/>
              <w:rPr>
                <w:rFonts w:ascii="New York" w:hAnsi="New York"/>
                <w:b/>
                <w:bCs/>
              </w:rPr>
            </w:pPr>
            <w:r>
              <w:rPr>
                <w:rFonts w:ascii="New York" w:hAnsi="New York"/>
                <w:b/>
                <w:bCs/>
              </w:rPr>
              <w:t>Parameters</w:t>
            </w:r>
          </w:p>
        </w:tc>
        <w:tc>
          <w:tcPr>
            <w:tcW w:w="4939" w:type="dxa"/>
            <w:shd w:val="clear" w:color="auto" w:fill="BDD6EE" w:themeFill="accent1" w:themeFillTint="66"/>
          </w:tcPr>
          <w:p>
            <w:pPr>
              <w:snapToGrid w:val="0"/>
              <w:spacing w:before="120" w:line="280" w:lineRule="atLeast"/>
              <w:rPr>
                <w:rFonts w:ascii="New York" w:hAnsi="New York"/>
                <w:b/>
                <w:bCs/>
              </w:rPr>
            </w:pPr>
            <w:r>
              <w:rPr>
                <w:rFonts w:ascii="New York" w:hAnsi="New York"/>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470" w:type="dxa"/>
          </w:tcPr>
          <w:p>
            <w:pPr>
              <w:snapToGrid w:val="0"/>
              <w:spacing w:before="120" w:line="280" w:lineRule="atLeast"/>
              <w:rPr>
                <w:rFonts w:ascii="New York" w:hAnsi="New York"/>
              </w:rPr>
            </w:pPr>
            <w:r>
              <w:rPr>
                <w:rFonts w:ascii="New York" w:hAnsi="New York"/>
              </w:rPr>
              <w:t>DCI payload (excluding 24</w:t>
            </w:r>
            <w:r>
              <w:rPr>
                <w:rFonts w:hint="eastAsia" w:ascii="New York" w:hAnsi="New York"/>
              </w:rPr>
              <w:t xml:space="preserve"> </w:t>
            </w:r>
            <w:r>
              <w:rPr>
                <w:rFonts w:ascii="New York" w:hAnsi="New York"/>
              </w:rPr>
              <w:t>bits CRC)</w:t>
            </w:r>
          </w:p>
        </w:tc>
        <w:tc>
          <w:tcPr>
            <w:tcW w:w="4939" w:type="dxa"/>
          </w:tcPr>
          <w:p>
            <w:pPr>
              <w:snapToGrid w:val="0"/>
              <w:spacing w:before="120" w:line="280" w:lineRule="atLeast"/>
              <w:rPr>
                <w:rFonts w:ascii="New York" w:hAnsi="New York"/>
              </w:rPr>
            </w:pPr>
            <w:r>
              <w:rPr>
                <w:rFonts w:ascii="New York" w:hAnsi="New York"/>
              </w:rPr>
              <w:t>Legacy DCI</w:t>
            </w:r>
            <w:r>
              <w:rPr>
                <w:rFonts w:hint="eastAsia" w:ascii="New York" w:hAnsi="New York"/>
              </w:rPr>
              <w:t xml:space="preserve">: 60 bits, </w:t>
            </w:r>
          </w:p>
          <w:p>
            <w:pPr>
              <w:snapToGrid w:val="0"/>
              <w:spacing w:before="120" w:line="280" w:lineRule="atLeast"/>
              <w:rPr>
                <w:rFonts w:ascii="New York" w:hAnsi="New York"/>
              </w:rPr>
            </w:pPr>
            <w:r>
              <w:rPr>
                <w:rFonts w:hint="eastAsia" w:ascii="New York" w:hAnsi="New York"/>
              </w:rPr>
              <w:t>O</w:t>
            </w:r>
            <w:r>
              <w:rPr>
                <w:rFonts w:ascii="New York" w:hAnsi="New York"/>
              </w:rPr>
              <w:t>ne-to-two scheduling DC</w:t>
            </w:r>
            <w:r>
              <w:rPr>
                <w:rFonts w:hint="eastAsia" w:ascii="New York" w:hAnsi="New York"/>
              </w:rPr>
              <w:t>I: 72, 84, 96 and 108 bits</w:t>
            </w:r>
          </w:p>
          <w:p>
            <w:pPr>
              <w:snapToGrid w:val="0"/>
              <w:spacing w:before="120" w:line="280" w:lineRule="atLeast"/>
              <w:rPr>
                <w:rFonts w:ascii="New York" w:hAnsi="New York"/>
              </w:rPr>
            </w:pPr>
            <w:r>
              <w:rPr>
                <w:rFonts w:hint="eastAsia" w:ascii="New York" w:hAnsi="New York"/>
              </w:rPr>
              <w:t>O</w:t>
            </w:r>
            <w:r>
              <w:rPr>
                <w:rFonts w:ascii="New York" w:hAnsi="New York"/>
              </w:rPr>
              <w:t>ne-to-t</w:t>
            </w:r>
            <w:r>
              <w:rPr>
                <w:rFonts w:hint="eastAsia" w:ascii="New York" w:hAnsi="New York"/>
              </w:rPr>
              <w:t>hree</w:t>
            </w:r>
            <w:r>
              <w:rPr>
                <w:rFonts w:ascii="New York" w:hAnsi="New York"/>
              </w:rPr>
              <w:t xml:space="preserve"> scheduling DC</w:t>
            </w:r>
            <w:r>
              <w:rPr>
                <w:rFonts w:hint="eastAsia" w:ascii="New York" w:hAnsi="New York"/>
              </w:rPr>
              <w:t>I: 108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3470" w:type="dxa"/>
          </w:tcPr>
          <w:p>
            <w:pPr>
              <w:snapToGrid w:val="0"/>
              <w:spacing w:before="120" w:line="280" w:lineRule="atLeast"/>
              <w:rPr>
                <w:rFonts w:ascii="New York" w:hAnsi="New York"/>
              </w:rPr>
            </w:pPr>
            <w:r>
              <w:rPr>
                <w:rFonts w:ascii="New York" w:hAnsi="New York"/>
              </w:rPr>
              <w:t>System bandwidth</w:t>
            </w:r>
          </w:p>
        </w:tc>
        <w:tc>
          <w:tcPr>
            <w:tcW w:w="4939" w:type="dxa"/>
          </w:tcPr>
          <w:p>
            <w:pPr>
              <w:snapToGrid w:val="0"/>
              <w:spacing w:before="120" w:line="280" w:lineRule="atLeast"/>
              <w:rPr>
                <w:rFonts w:ascii="New York" w:hAnsi="New York"/>
              </w:rPr>
            </w:pPr>
            <w:r>
              <w:rPr>
                <w:rFonts w:ascii="New York" w:hAnsi="New York"/>
              </w:rPr>
              <w:t xml:space="preserve">PCell </w:t>
            </w:r>
            <w:r>
              <w:rPr>
                <w:rFonts w:hint="eastAsia" w:ascii="New York" w:hAnsi="New York"/>
              </w:rPr>
              <w:t>10/</w:t>
            </w:r>
            <w:r>
              <w:rPr>
                <w:rFonts w:ascii="New York" w:hAnsi="New York"/>
              </w:rPr>
              <w:t>20MHz + SCell 20/</w:t>
            </w:r>
            <w:r>
              <w:rPr>
                <w:rFonts w:hint="eastAsia" w:ascii="New York" w:hAnsi="New York"/>
              </w:rPr>
              <w:t>10</w:t>
            </w:r>
            <w:r>
              <w:rPr>
                <w:rFonts w:ascii="New York" w:hAnsi="New York"/>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3470" w:type="dxa"/>
          </w:tcPr>
          <w:p>
            <w:pPr>
              <w:snapToGrid w:val="0"/>
              <w:spacing w:before="120" w:line="280" w:lineRule="atLeast"/>
              <w:rPr>
                <w:rFonts w:ascii="New York" w:hAnsi="New York"/>
              </w:rPr>
            </w:pPr>
            <w:r>
              <w:rPr>
                <w:rFonts w:ascii="New York" w:hAnsi="New York"/>
              </w:rPr>
              <w:t>Carrier Frequency</w:t>
            </w:r>
          </w:p>
        </w:tc>
        <w:tc>
          <w:tcPr>
            <w:tcW w:w="4939" w:type="dxa"/>
          </w:tcPr>
          <w:p>
            <w:pPr>
              <w:snapToGrid w:val="0"/>
              <w:spacing w:before="120" w:line="280" w:lineRule="atLeast"/>
              <w:rPr>
                <w:rFonts w:ascii="New York" w:hAnsi="New York"/>
              </w:rPr>
            </w:pPr>
            <w:r>
              <w:rPr>
                <w:rFonts w:ascii="New York" w:hAnsi="New York"/>
              </w:rPr>
              <w:t>Inter-band CA (700MHz + 4GHz)</w:t>
            </w:r>
          </w:p>
          <w:p>
            <w:pPr>
              <w:snapToGrid w:val="0"/>
              <w:spacing w:before="120" w:line="280" w:lineRule="atLeast"/>
              <w:rPr>
                <w:rFonts w:ascii="New York" w:hAnsi="New York"/>
              </w:rPr>
            </w:pPr>
            <w:r>
              <w:rPr>
                <w:rFonts w:ascii="New York" w:hAnsi="New York"/>
              </w:rPr>
              <w:t>Intra-band CA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470" w:type="dxa"/>
          </w:tcPr>
          <w:p>
            <w:pPr>
              <w:snapToGrid w:val="0"/>
              <w:spacing w:before="120" w:line="280" w:lineRule="atLeast"/>
              <w:rPr>
                <w:rFonts w:ascii="New York" w:hAnsi="New York"/>
              </w:rPr>
            </w:pPr>
            <w:r>
              <w:rPr>
                <w:rFonts w:hint="eastAsia" w:ascii="New York" w:hAnsi="New York"/>
              </w:rPr>
              <w:t>SCS</w:t>
            </w:r>
          </w:p>
        </w:tc>
        <w:tc>
          <w:tcPr>
            <w:tcW w:w="4939" w:type="dxa"/>
          </w:tcPr>
          <w:p>
            <w:pPr>
              <w:snapToGrid w:val="0"/>
              <w:spacing w:before="120" w:line="280" w:lineRule="atLeast"/>
              <w:rPr>
                <w:rFonts w:ascii="New York" w:hAnsi="New York"/>
              </w:rPr>
            </w:pPr>
            <w:r>
              <w:rPr>
                <w:rFonts w:hint="eastAsia" w:ascii="New York" w:hAnsi="New York"/>
              </w:rPr>
              <w:t>15 kHz for 700MHz/2GHz</w:t>
            </w:r>
          </w:p>
          <w:p>
            <w:pPr>
              <w:snapToGrid w:val="0"/>
              <w:spacing w:before="120" w:line="280" w:lineRule="atLeast"/>
              <w:rPr>
                <w:rFonts w:ascii="New York" w:hAnsi="New York"/>
              </w:rPr>
            </w:pPr>
            <w:r>
              <w:rPr>
                <w:rFonts w:hint="eastAsia" w:ascii="New York" w:hAnsi="New York"/>
              </w:rPr>
              <w:t>30 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snapToGrid w:val="0"/>
              <w:spacing w:before="120" w:line="280" w:lineRule="atLeast"/>
              <w:rPr>
                <w:rFonts w:ascii="New York" w:hAnsi="New York"/>
              </w:rPr>
            </w:pPr>
            <w:r>
              <w:rPr>
                <w:rFonts w:hint="eastAsia" w:ascii="New York" w:hAnsi="New York"/>
              </w:rPr>
              <w:t>UE speed</w:t>
            </w:r>
          </w:p>
        </w:tc>
        <w:tc>
          <w:tcPr>
            <w:tcW w:w="4939" w:type="dxa"/>
            <w:vAlign w:val="center"/>
          </w:tcPr>
          <w:p>
            <w:pPr>
              <w:snapToGrid w:val="0"/>
              <w:spacing w:before="120" w:line="280" w:lineRule="atLeast"/>
              <w:rPr>
                <w:rFonts w:ascii="New York" w:hAnsi="New York"/>
              </w:rPr>
            </w:pPr>
            <w:r>
              <w:rPr>
                <w:rFonts w:hint="eastAsia" w:ascii="New York" w:hAnsi="New York"/>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snapToGrid w:val="0"/>
              <w:spacing w:before="120" w:line="280" w:lineRule="atLeast"/>
              <w:rPr>
                <w:rFonts w:ascii="New York" w:hAnsi="New York"/>
              </w:rPr>
            </w:pPr>
            <w:r>
              <w:rPr>
                <w:rFonts w:hint="eastAsia" w:ascii="New York" w:hAnsi="New York"/>
              </w:rPr>
              <w:t>Number of UE antennas</w:t>
            </w:r>
          </w:p>
        </w:tc>
        <w:tc>
          <w:tcPr>
            <w:tcW w:w="4939" w:type="dxa"/>
            <w:vAlign w:val="center"/>
          </w:tcPr>
          <w:p>
            <w:pPr>
              <w:snapToGrid w:val="0"/>
              <w:spacing w:before="120" w:line="280" w:lineRule="atLeast"/>
              <w:rPr>
                <w:rFonts w:ascii="New York" w:hAnsi="New York"/>
              </w:rPr>
            </w:pPr>
            <w:r>
              <w:rPr>
                <w:rFonts w:hint="eastAsia" w:ascii="New York" w:hAnsi="New York"/>
              </w:rPr>
              <w:t>2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Number of symbols for CORESET</w:t>
            </w:r>
          </w:p>
        </w:tc>
        <w:tc>
          <w:tcPr>
            <w:tcW w:w="4939" w:type="dxa"/>
          </w:tcPr>
          <w:p>
            <w:pPr>
              <w:snapToGrid w:val="0"/>
              <w:spacing w:before="120" w:line="280" w:lineRule="atLeast"/>
              <w:rPr>
                <w:rFonts w:ascii="New York" w:hAnsi="New York"/>
              </w:rPr>
            </w:pPr>
            <w:r>
              <w:rPr>
                <w:rFonts w:hint="eastAsia" w:ascii="New York" w:hAnsi="New York"/>
              </w:rPr>
              <w:t>2 for 2GHz, 3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Transmission type</w:t>
            </w:r>
          </w:p>
        </w:tc>
        <w:tc>
          <w:tcPr>
            <w:tcW w:w="4939" w:type="dxa"/>
          </w:tcPr>
          <w:p>
            <w:pPr>
              <w:snapToGrid w:val="0"/>
              <w:spacing w:before="120" w:line="280" w:lineRule="atLeast"/>
              <w:rPr>
                <w:rFonts w:ascii="New York" w:hAnsi="New York"/>
              </w:rPr>
            </w:pPr>
            <w:r>
              <w:rPr>
                <w:rFonts w:ascii="New York" w:hAnsi="New York"/>
              </w:rPr>
              <w:t>Interleaved</w:t>
            </w:r>
            <w:r>
              <w:rPr>
                <w:rFonts w:hint="eastAsia" w:ascii="New York" w:hAnsi="New York"/>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REG bundling size</w:t>
            </w:r>
          </w:p>
        </w:tc>
        <w:tc>
          <w:tcPr>
            <w:tcW w:w="4939" w:type="dxa"/>
          </w:tcPr>
          <w:p>
            <w:pPr>
              <w:snapToGrid w:val="0"/>
              <w:spacing w:before="120" w:line="280" w:lineRule="atLeast"/>
              <w:rPr>
                <w:rFonts w:ascii="New York" w:hAnsi="New York"/>
              </w:rPr>
            </w:pPr>
            <w:r>
              <w:rPr>
                <w:rFonts w:ascii="New York" w:hAnsi="New York"/>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 xml:space="preserve">Modulation </w:t>
            </w:r>
          </w:p>
        </w:tc>
        <w:tc>
          <w:tcPr>
            <w:tcW w:w="4939" w:type="dxa"/>
          </w:tcPr>
          <w:p>
            <w:pPr>
              <w:snapToGrid w:val="0"/>
              <w:spacing w:before="120" w:line="280" w:lineRule="atLeast"/>
              <w:rPr>
                <w:rFonts w:ascii="New York" w:hAnsi="New York"/>
              </w:rPr>
            </w:pPr>
            <w:r>
              <w:rPr>
                <w:rFonts w:ascii="New York" w:hAnsi="New York"/>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Channel coding</w:t>
            </w:r>
          </w:p>
        </w:tc>
        <w:tc>
          <w:tcPr>
            <w:tcW w:w="4939" w:type="dxa"/>
          </w:tcPr>
          <w:p>
            <w:pPr>
              <w:snapToGrid w:val="0"/>
              <w:spacing w:before="120" w:line="280" w:lineRule="atLeast"/>
              <w:rPr>
                <w:rFonts w:ascii="New York" w:hAnsi="New York"/>
              </w:rPr>
            </w:pPr>
            <w:r>
              <w:rPr>
                <w:rFonts w:ascii="New York" w:hAnsi="New York"/>
              </w:rP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ascii="New York" w:hAnsi="New York"/>
              </w:rPr>
              <w:t>Transmission scheme</w:t>
            </w:r>
          </w:p>
        </w:tc>
        <w:tc>
          <w:tcPr>
            <w:tcW w:w="4939" w:type="dxa"/>
          </w:tcPr>
          <w:p>
            <w:pPr>
              <w:snapToGrid w:val="0"/>
              <w:spacing w:before="120" w:line="280" w:lineRule="atLeast"/>
              <w:rPr>
                <w:rFonts w:ascii="New York" w:hAnsi="New York"/>
              </w:rPr>
            </w:pPr>
            <w:r>
              <w:rPr>
                <w:rFonts w:ascii="New York" w:hAnsi="New York"/>
              </w:rP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470" w:type="dxa"/>
          </w:tcPr>
          <w:p>
            <w:pPr>
              <w:snapToGrid w:val="0"/>
              <w:spacing w:before="120" w:line="280" w:lineRule="atLeast"/>
              <w:rPr>
                <w:rFonts w:ascii="New York" w:hAnsi="New York"/>
              </w:rPr>
            </w:pPr>
            <w:r>
              <w:rPr>
                <w:rFonts w:ascii="New York" w:hAnsi="New York"/>
              </w:rPr>
              <w:t>Channel model</w:t>
            </w:r>
          </w:p>
        </w:tc>
        <w:tc>
          <w:tcPr>
            <w:tcW w:w="4939" w:type="dxa"/>
          </w:tcPr>
          <w:p>
            <w:pPr>
              <w:snapToGrid w:val="0"/>
              <w:spacing w:before="120" w:line="280" w:lineRule="atLeast"/>
              <w:jc w:val="left"/>
              <w:rPr>
                <w:rFonts w:ascii="New York" w:hAnsi="New York"/>
              </w:rPr>
            </w:pPr>
            <w:r>
              <w:rPr>
                <w:rFonts w:ascii="New York" w:hAnsi="New York"/>
              </w:rPr>
              <w:t xml:space="preserve">TDL-C (delay spread: 300ns)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hint="eastAsia" w:ascii="New York" w:hAnsi="New York"/>
                <w:lang w:eastAsia="ja-JP"/>
              </w:rPr>
              <w:t>Channel estimation</w:t>
            </w:r>
          </w:p>
        </w:tc>
        <w:tc>
          <w:tcPr>
            <w:tcW w:w="4939" w:type="dxa"/>
          </w:tcPr>
          <w:p>
            <w:pPr>
              <w:snapToGrid w:val="0"/>
              <w:spacing w:before="120" w:line="280" w:lineRule="atLeast"/>
              <w:rPr>
                <w:rFonts w:ascii="New York" w:hAnsi="New York"/>
              </w:rPr>
            </w:pPr>
            <w:r>
              <w:rPr>
                <w:rFonts w:hint="eastAsia" w:ascii="New York" w:hAnsi="New York"/>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rPr>
                <w:rFonts w:ascii="New York" w:hAnsi="New York"/>
              </w:rPr>
            </w:pPr>
            <w:r>
              <w:rPr>
                <w:rFonts w:hint="eastAsia" w:ascii="New York" w:hAnsi="New York"/>
                <w:lang w:eastAsia="ja-JP"/>
              </w:rPr>
              <w:t>Receiver type</w:t>
            </w:r>
          </w:p>
        </w:tc>
        <w:tc>
          <w:tcPr>
            <w:tcW w:w="4939" w:type="dxa"/>
          </w:tcPr>
          <w:p>
            <w:pPr>
              <w:snapToGrid w:val="0"/>
              <w:spacing w:before="120" w:line="280" w:lineRule="atLeast"/>
              <w:rPr>
                <w:rFonts w:ascii="New York" w:hAnsi="New York"/>
              </w:rPr>
            </w:pPr>
            <w:r>
              <w:rPr>
                <w:rFonts w:hint="eastAsia" w:ascii="New York" w:hAnsi="New York"/>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409" w:type="dxa"/>
            <w:gridSpan w:val="2"/>
          </w:tcPr>
          <w:p>
            <w:pPr>
              <w:snapToGrid w:val="0"/>
              <w:spacing w:before="120" w:line="280" w:lineRule="atLeast"/>
              <w:rPr>
                <w:rFonts w:ascii="New York" w:hAnsi="New York"/>
              </w:rPr>
            </w:pPr>
            <w:r>
              <w:rPr>
                <w:rFonts w:hint="eastAsia" w:ascii="New York" w:hAnsi="New York"/>
              </w:rPr>
              <w:t xml:space="preserve">Note: CORESET size is 24 CCEs for 700M and 32 CCEs for 2G, and number of candidates for AL=1, 2, 4, 8, 16 CCEs are configured as 6, 4, 2, 2, 1. </w:t>
            </w:r>
          </w:p>
          <w:p>
            <w:pPr>
              <w:snapToGrid w:val="0"/>
              <w:spacing w:before="120" w:line="280" w:lineRule="atLeast"/>
              <w:rPr>
                <w:rFonts w:ascii="New York" w:hAnsi="New York"/>
              </w:rPr>
            </w:pPr>
            <w:r>
              <w:rPr>
                <w:rFonts w:ascii="New York" w:hAnsi="New York"/>
              </w:rPr>
              <w:t>Note: For two-cell scheduling via a single DCI, PDCCH transmitted on a first cell schedules one PDSCH on the first cell and another PDSCH on a second cell. For single-cell scheduling (baseline), one PDCCH transmitted on a first cell schedules one PDSCH on the first cell via self-scheduling and another PDCCH transmitted on the first cell schedules another PDSCH on a second cell via cross-carrier scheduling.</w:t>
            </w:r>
          </w:p>
        </w:tc>
      </w:tr>
    </w:tbl>
    <w:p>
      <w:pPr>
        <w:pStyle w:val="126"/>
        <w:numPr>
          <w:ilvl w:val="0"/>
          <w:numId w:val="0"/>
        </w:numPr>
      </w:pPr>
    </w:p>
    <w:p>
      <w:pPr>
        <w:pStyle w:val="126"/>
        <w:numPr>
          <w:ilvl w:val="0"/>
          <w:numId w:val="0"/>
        </w:numPr>
      </w:pPr>
    </w:p>
    <w:p>
      <w:pPr>
        <w:pStyle w:val="3"/>
        <w:rPr>
          <w:lang w:val="en-US"/>
        </w:rPr>
      </w:pPr>
      <w:r>
        <w:rPr>
          <w:rFonts w:hint="eastAsia"/>
          <w:lang w:val="en-US"/>
        </w:rPr>
        <w:t>Geometry</w:t>
      </w:r>
    </w:p>
    <w:p>
      <w:pPr>
        <w:pStyle w:val="126"/>
        <w:numPr>
          <w:ilvl w:val="0"/>
          <w:numId w:val="0"/>
        </w:numPr>
        <w:spacing w:after="0"/>
        <w:jc w:val="center"/>
      </w:pPr>
      <w:r>
        <w:drawing>
          <wp:inline distT="0" distB="0" distL="114300" distR="114300">
            <wp:extent cx="3360420" cy="2520315"/>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11"/>
                    <a:stretch>
                      <a:fillRect/>
                    </a:stretch>
                  </pic:blipFill>
                  <pic:spPr>
                    <a:xfrm>
                      <a:off x="0" y="0"/>
                      <a:ext cx="3360420" cy="2520315"/>
                    </a:xfrm>
                    <a:prstGeom prst="rect">
                      <a:avLst/>
                    </a:prstGeom>
                    <a:noFill/>
                    <a:ln>
                      <a:noFill/>
                    </a:ln>
                  </pic:spPr>
                </pic:pic>
              </a:graphicData>
            </a:graphic>
          </wp:inline>
        </w:drawing>
      </w:r>
    </w:p>
    <w:p>
      <w:pPr>
        <w:pStyle w:val="126"/>
        <w:numPr>
          <w:ilvl w:val="0"/>
          <w:numId w:val="0"/>
        </w:numPr>
        <w:spacing w:after="180"/>
        <w:jc w:val="center"/>
      </w:pPr>
      <w:r>
        <w:rPr>
          <w:rFonts w:hint="eastAsia"/>
        </w:rPr>
        <w:t>Fig.A-</w:t>
      </w:r>
      <w:r>
        <w:rPr>
          <w:rFonts w:hint="eastAsia"/>
          <w:lang w:val="en-US" w:eastAsia="zh-CN"/>
        </w:rPr>
        <w:t>1</w:t>
      </w:r>
      <w:r>
        <w:t>.</w:t>
      </w:r>
      <w:r>
        <w:rPr>
          <w:rFonts w:hint="eastAsia"/>
        </w:rPr>
        <w:t xml:space="preserve"> CDF of SNR for PDCCH in U</w:t>
      </w:r>
      <w:r>
        <w:t xml:space="preserve">rban </w:t>
      </w:r>
      <w:r>
        <w:rPr>
          <w:rFonts w:hint="eastAsia"/>
        </w:rPr>
        <w:t>scenario</w:t>
      </w:r>
      <w:r>
        <w:t xml:space="preserve"> </w:t>
      </w:r>
      <w:r>
        <w:rPr>
          <w:rFonts w:hint="eastAsia"/>
        </w:rPr>
        <w:t>(2GHz)</w:t>
      </w:r>
    </w:p>
    <w:p>
      <w:pPr>
        <w:pStyle w:val="3"/>
        <w:rPr>
          <w:lang w:val="en-US"/>
        </w:rPr>
      </w:pPr>
      <w:r>
        <w:rPr>
          <w:rFonts w:hint="eastAsia"/>
          <w:lang w:val="en-US"/>
        </w:rPr>
        <w:t>PDCCH LLS results</w:t>
      </w:r>
    </w:p>
    <w:p>
      <w:pPr>
        <w:pStyle w:val="126"/>
        <w:numPr>
          <w:ilvl w:val="0"/>
          <w:numId w:val="0"/>
        </w:numPr>
        <w:spacing w:after="0"/>
        <w:jc w:val="center"/>
      </w:pPr>
      <w:r>
        <w:drawing>
          <wp:inline distT="0" distB="0" distL="114300" distR="114300">
            <wp:extent cx="4860290" cy="2879725"/>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12"/>
                    <a:stretch>
                      <a:fillRect/>
                    </a:stretch>
                  </pic:blipFill>
                  <pic:spPr>
                    <a:xfrm>
                      <a:off x="0" y="0"/>
                      <a:ext cx="4860290" cy="2879725"/>
                    </a:xfrm>
                    <a:prstGeom prst="rect">
                      <a:avLst/>
                    </a:prstGeom>
                    <a:noFill/>
                    <a:ln>
                      <a:noFill/>
                    </a:ln>
                  </pic:spPr>
                </pic:pic>
              </a:graphicData>
            </a:graphic>
          </wp:inline>
        </w:drawing>
      </w:r>
    </w:p>
    <w:p>
      <w:pPr>
        <w:pStyle w:val="126"/>
        <w:numPr>
          <w:ilvl w:val="0"/>
          <w:numId w:val="0"/>
        </w:numPr>
        <w:spacing w:after="180"/>
        <w:jc w:val="center"/>
      </w:pPr>
      <w:r>
        <w:rPr>
          <w:rFonts w:hint="eastAsia"/>
        </w:rPr>
        <w:t>Fig.A-</w:t>
      </w:r>
      <w:r>
        <w:rPr>
          <w:rFonts w:hint="eastAsia"/>
          <w:lang w:val="en-US" w:eastAsia="zh-CN"/>
        </w:rPr>
        <w:t>2</w:t>
      </w:r>
      <w:r>
        <w:t>.</w:t>
      </w:r>
      <w:r>
        <w:rPr>
          <w:rFonts w:hint="eastAsia"/>
        </w:rPr>
        <w:t xml:space="preserve"> Link level simulation results</w:t>
      </w:r>
      <w:r>
        <w:t xml:space="preserve"> </w:t>
      </w:r>
      <w:r>
        <w:rPr>
          <w:rFonts w:hint="eastAsia"/>
        </w:rPr>
        <w:t>(2GHz)</w:t>
      </w:r>
    </w:p>
    <w:p>
      <w:pPr>
        <w:pStyle w:val="126"/>
        <w:numPr>
          <w:ilvl w:val="0"/>
          <w:numId w:val="0"/>
        </w:num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KaiTi_GB2312">
    <w:altName w:val="Times New Roman"/>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3">
    <w:nsid w:val="535798D6"/>
    <w:multiLevelType w:val="multilevel"/>
    <w:tmpl w:val="535798D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5"/>
  </w:num>
  <w:num w:numId="4">
    <w:abstractNumId w:val="2"/>
  </w:num>
  <w:num w:numId="5">
    <w:abstractNumId w:val="7"/>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A9C"/>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3F1"/>
    <w:rsid w:val="000205C1"/>
    <w:rsid w:val="0002085F"/>
    <w:rsid w:val="000209D8"/>
    <w:rsid w:val="00020D61"/>
    <w:rsid w:val="00021001"/>
    <w:rsid w:val="000210B6"/>
    <w:rsid w:val="0002113C"/>
    <w:rsid w:val="0002130A"/>
    <w:rsid w:val="00021911"/>
    <w:rsid w:val="000219A8"/>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1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77A5C"/>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58B"/>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359"/>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3E5"/>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D9"/>
    <w:rsid w:val="002506F5"/>
    <w:rsid w:val="002508C7"/>
    <w:rsid w:val="00250D9C"/>
    <w:rsid w:val="00251117"/>
    <w:rsid w:val="002512A9"/>
    <w:rsid w:val="002515EA"/>
    <w:rsid w:val="0025169E"/>
    <w:rsid w:val="00251723"/>
    <w:rsid w:val="00251843"/>
    <w:rsid w:val="00251891"/>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8AB"/>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2E3"/>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61"/>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117"/>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4B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5B5"/>
    <w:rsid w:val="004E471C"/>
    <w:rsid w:val="004E4EF1"/>
    <w:rsid w:val="004E524E"/>
    <w:rsid w:val="004E53AE"/>
    <w:rsid w:val="004E5449"/>
    <w:rsid w:val="004E5579"/>
    <w:rsid w:val="004E5710"/>
    <w:rsid w:val="004E5788"/>
    <w:rsid w:val="004E5C61"/>
    <w:rsid w:val="004E6158"/>
    <w:rsid w:val="004E6184"/>
    <w:rsid w:val="004E6463"/>
    <w:rsid w:val="004E677C"/>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7C3"/>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3BA"/>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2D"/>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65E"/>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360"/>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87"/>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4EC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94B"/>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9B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57C"/>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918"/>
    <w:rsid w:val="00993D38"/>
    <w:rsid w:val="00994484"/>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87A"/>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E97"/>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752"/>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10B"/>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80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1ED4"/>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3B35"/>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721"/>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4D"/>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B94"/>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6D72"/>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0F02"/>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20C"/>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19A"/>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19A"/>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4F7E"/>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473"/>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6B19B3"/>
    <w:rsid w:val="0284643E"/>
    <w:rsid w:val="02E94111"/>
    <w:rsid w:val="03532C3F"/>
    <w:rsid w:val="03B25C4C"/>
    <w:rsid w:val="03F94E83"/>
    <w:rsid w:val="03FC4856"/>
    <w:rsid w:val="041A02D2"/>
    <w:rsid w:val="044E0341"/>
    <w:rsid w:val="04B701E4"/>
    <w:rsid w:val="04BE2067"/>
    <w:rsid w:val="05071843"/>
    <w:rsid w:val="05DC2865"/>
    <w:rsid w:val="06514854"/>
    <w:rsid w:val="06797D1E"/>
    <w:rsid w:val="067D4C1C"/>
    <w:rsid w:val="06B127E5"/>
    <w:rsid w:val="072F2729"/>
    <w:rsid w:val="07C21FA9"/>
    <w:rsid w:val="07CA2248"/>
    <w:rsid w:val="08641C88"/>
    <w:rsid w:val="088802BC"/>
    <w:rsid w:val="08D9192F"/>
    <w:rsid w:val="0957797D"/>
    <w:rsid w:val="0972706B"/>
    <w:rsid w:val="09780C1C"/>
    <w:rsid w:val="09BB4115"/>
    <w:rsid w:val="09C21BB6"/>
    <w:rsid w:val="0A041F17"/>
    <w:rsid w:val="0A867EAB"/>
    <w:rsid w:val="0AE775AC"/>
    <w:rsid w:val="0AFC60B7"/>
    <w:rsid w:val="0BAD7041"/>
    <w:rsid w:val="0C146EAA"/>
    <w:rsid w:val="0C246133"/>
    <w:rsid w:val="0C4504A9"/>
    <w:rsid w:val="0C6F5654"/>
    <w:rsid w:val="0D132BA9"/>
    <w:rsid w:val="0D660AC2"/>
    <w:rsid w:val="0D672BF6"/>
    <w:rsid w:val="0E120AD5"/>
    <w:rsid w:val="0EB06FFE"/>
    <w:rsid w:val="0EBC617F"/>
    <w:rsid w:val="10150A41"/>
    <w:rsid w:val="106E6C42"/>
    <w:rsid w:val="10703C1B"/>
    <w:rsid w:val="11457CBC"/>
    <w:rsid w:val="11A042BE"/>
    <w:rsid w:val="12085E93"/>
    <w:rsid w:val="1257267A"/>
    <w:rsid w:val="12603CCB"/>
    <w:rsid w:val="12A23DDF"/>
    <w:rsid w:val="12A472D8"/>
    <w:rsid w:val="12FE321B"/>
    <w:rsid w:val="130859B8"/>
    <w:rsid w:val="13D56160"/>
    <w:rsid w:val="141F2191"/>
    <w:rsid w:val="15183236"/>
    <w:rsid w:val="1575AEB2"/>
    <w:rsid w:val="157B604F"/>
    <w:rsid w:val="15883FDE"/>
    <w:rsid w:val="158B5B72"/>
    <w:rsid w:val="15A60385"/>
    <w:rsid w:val="164F7F6D"/>
    <w:rsid w:val="165E068A"/>
    <w:rsid w:val="1690558C"/>
    <w:rsid w:val="16A55904"/>
    <w:rsid w:val="1702D3F2"/>
    <w:rsid w:val="17B40A00"/>
    <w:rsid w:val="188D2058"/>
    <w:rsid w:val="18BA7603"/>
    <w:rsid w:val="18FD3F86"/>
    <w:rsid w:val="19027A92"/>
    <w:rsid w:val="192B740B"/>
    <w:rsid w:val="19497C62"/>
    <w:rsid w:val="1A514204"/>
    <w:rsid w:val="1B2E6DC7"/>
    <w:rsid w:val="1B5316CE"/>
    <w:rsid w:val="1B5E59D2"/>
    <w:rsid w:val="1BF401F9"/>
    <w:rsid w:val="1C766428"/>
    <w:rsid w:val="1C9D272D"/>
    <w:rsid w:val="1DD50930"/>
    <w:rsid w:val="1DF407BB"/>
    <w:rsid w:val="1DFB2FC6"/>
    <w:rsid w:val="1E38003B"/>
    <w:rsid w:val="1E6E273D"/>
    <w:rsid w:val="1E9256F7"/>
    <w:rsid w:val="1F475584"/>
    <w:rsid w:val="1F850095"/>
    <w:rsid w:val="1FB91CD0"/>
    <w:rsid w:val="20910CB1"/>
    <w:rsid w:val="20C234B0"/>
    <w:rsid w:val="20CD42FE"/>
    <w:rsid w:val="20E8511F"/>
    <w:rsid w:val="21035A99"/>
    <w:rsid w:val="21282288"/>
    <w:rsid w:val="22B21F7A"/>
    <w:rsid w:val="23680C07"/>
    <w:rsid w:val="239E142D"/>
    <w:rsid w:val="245870DE"/>
    <w:rsid w:val="247247A7"/>
    <w:rsid w:val="2473146A"/>
    <w:rsid w:val="24B531BA"/>
    <w:rsid w:val="264B0F73"/>
    <w:rsid w:val="27C5366D"/>
    <w:rsid w:val="27DD67CA"/>
    <w:rsid w:val="28174410"/>
    <w:rsid w:val="28690808"/>
    <w:rsid w:val="28B07E55"/>
    <w:rsid w:val="28B54AA2"/>
    <w:rsid w:val="2943581C"/>
    <w:rsid w:val="294D6347"/>
    <w:rsid w:val="29C47F9E"/>
    <w:rsid w:val="2A0F0B23"/>
    <w:rsid w:val="2A4E5A65"/>
    <w:rsid w:val="2AFE2B7E"/>
    <w:rsid w:val="2D376513"/>
    <w:rsid w:val="2D46501B"/>
    <w:rsid w:val="2DC863F1"/>
    <w:rsid w:val="2EB72406"/>
    <w:rsid w:val="2ED506AC"/>
    <w:rsid w:val="2F2367DE"/>
    <w:rsid w:val="2FE768C6"/>
    <w:rsid w:val="314D16B3"/>
    <w:rsid w:val="31542D3B"/>
    <w:rsid w:val="32450603"/>
    <w:rsid w:val="3272003C"/>
    <w:rsid w:val="32832752"/>
    <w:rsid w:val="3295041E"/>
    <w:rsid w:val="32FE23BF"/>
    <w:rsid w:val="330E6893"/>
    <w:rsid w:val="33DE0CB9"/>
    <w:rsid w:val="33E871F2"/>
    <w:rsid w:val="3511129D"/>
    <w:rsid w:val="353E6F1F"/>
    <w:rsid w:val="35416962"/>
    <w:rsid w:val="35597390"/>
    <w:rsid w:val="359455FE"/>
    <w:rsid w:val="365164BB"/>
    <w:rsid w:val="36CD07B0"/>
    <w:rsid w:val="373750E3"/>
    <w:rsid w:val="3758359D"/>
    <w:rsid w:val="375C57D7"/>
    <w:rsid w:val="37DD651E"/>
    <w:rsid w:val="37F575D7"/>
    <w:rsid w:val="387C359D"/>
    <w:rsid w:val="389E4761"/>
    <w:rsid w:val="38AA4D24"/>
    <w:rsid w:val="38BA113F"/>
    <w:rsid w:val="397D1F3D"/>
    <w:rsid w:val="39C76B54"/>
    <w:rsid w:val="3A135075"/>
    <w:rsid w:val="3A8424B5"/>
    <w:rsid w:val="3AB31D0C"/>
    <w:rsid w:val="3AFA1FEA"/>
    <w:rsid w:val="3B443F77"/>
    <w:rsid w:val="3B4A3B53"/>
    <w:rsid w:val="3BCD697D"/>
    <w:rsid w:val="3BF47021"/>
    <w:rsid w:val="3C923082"/>
    <w:rsid w:val="3CB37964"/>
    <w:rsid w:val="3D0354C7"/>
    <w:rsid w:val="3D365418"/>
    <w:rsid w:val="3D7642C9"/>
    <w:rsid w:val="3D830E22"/>
    <w:rsid w:val="3DCC205D"/>
    <w:rsid w:val="3DDA6D42"/>
    <w:rsid w:val="3DEC335B"/>
    <w:rsid w:val="3E1F469C"/>
    <w:rsid w:val="3E7347F4"/>
    <w:rsid w:val="3EF83C43"/>
    <w:rsid w:val="3F01664D"/>
    <w:rsid w:val="3F175FC8"/>
    <w:rsid w:val="3FD010A5"/>
    <w:rsid w:val="3FE81508"/>
    <w:rsid w:val="40850DCD"/>
    <w:rsid w:val="40B20AEE"/>
    <w:rsid w:val="40B56037"/>
    <w:rsid w:val="41AC1D9C"/>
    <w:rsid w:val="41ED1614"/>
    <w:rsid w:val="4242619A"/>
    <w:rsid w:val="42A60528"/>
    <w:rsid w:val="42B20782"/>
    <w:rsid w:val="42B33F72"/>
    <w:rsid w:val="44917C93"/>
    <w:rsid w:val="44C767F4"/>
    <w:rsid w:val="4591580A"/>
    <w:rsid w:val="467E25BE"/>
    <w:rsid w:val="46CE196D"/>
    <w:rsid w:val="46D41E44"/>
    <w:rsid w:val="47203236"/>
    <w:rsid w:val="479B6A40"/>
    <w:rsid w:val="47AE2F53"/>
    <w:rsid w:val="4819389C"/>
    <w:rsid w:val="48196BDA"/>
    <w:rsid w:val="482E1559"/>
    <w:rsid w:val="485F442E"/>
    <w:rsid w:val="489217E2"/>
    <w:rsid w:val="49006150"/>
    <w:rsid w:val="49446ABC"/>
    <w:rsid w:val="496938E0"/>
    <w:rsid w:val="49882B35"/>
    <w:rsid w:val="49DC6DFE"/>
    <w:rsid w:val="4A610A12"/>
    <w:rsid w:val="4AD132DA"/>
    <w:rsid w:val="4B3872E6"/>
    <w:rsid w:val="4C4C7997"/>
    <w:rsid w:val="4CA149AE"/>
    <w:rsid w:val="4CDC32A6"/>
    <w:rsid w:val="4DEE07E8"/>
    <w:rsid w:val="4DF51404"/>
    <w:rsid w:val="4E5633F4"/>
    <w:rsid w:val="4E676EA1"/>
    <w:rsid w:val="4E7740D9"/>
    <w:rsid w:val="4EAC0AFF"/>
    <w:rsid w:val="4EC2021D"/>
    <w:rsid w:val="4F0C7C86"/>
    <w:rsid w:val="4F0E5428"/>
    <w:rsid w:val="4F490D8A"/>
    <w:rsid w:val="4F665581"/>
    <w:rsid w:val="4FBA7727"/>
    <w:rsid w:val="4FF62963"/>
    <w:rsid w:val="501A7BD3"/>
    <w:rsid w:val="50DA0D98"/>
    <w:rsid w:val="50FD13B2"/>
    <w:rsid w:val="51985E8D"/>
    <w:rsid w:val="51B85BFC"/>
    <w:rsid w:val="52FE30BB"/>
    <w:rsid w:val="536E79E7"/>
    <w:rsid w:val="53C665E4"/>
    <w:rsid w:val="53E71661"/>
    <w:rsid w:val="54994709"/>
    <w:rsid w:val="54CE2507"/>
    <w:rsid w:val="55181CD2"/>
    <w:rsid w:val="55D01D97"/>
    <w:rsid w:val="55EC5272"/>
    <w:rsid w:val="5690109F"/>
    <w:rsid w:val="57137048"/>
    <w:rsid w:val="57244B18"/>
    <w:rsid w:val="57EF6871"/>
    <w:rsid w:val="58240039"/>
    <w:rsid w:val="587A4619"/>
    <w:rsid w:val="58C67114"/>
    <w:rsid w:val="595A121E"/>
    <w:rsid w:val="597E3579"/>
    <w:rsid w:val="59C75644"/>
    <w:rsid w:val="5A402410"/>
    <w:rsid w:val="5AC6281C"/>
    <w:rsid w:val="5AF07FF7"/>
    <w:rsid w:val="5AF422E5"/>
    <w:rsid w:val="5BD5773A"/>
    <w:rsid w:val="5BF26431"/>
    <w:rsid w:val="5BF950A7"/>
    <w:rsid w:val="5DD85542"/>
    <w:rsid w:val="5E780DEA"/>
    <w:rsid w:val="5F2E476C"/>
    <w:rsid w:val="5F631FA8"/>
    <w:rsid w:val="5FAD0A08"/>
    <w:rsid w:val="5FFB4F21"/>
    <w:rsid w:val="605A058C"/>
    <w:rsid w:val="60DB45A6"/>
    <w:rsid w:val="61166880"/>
    <w:rsid w:val="61C46239"/>
    <w:rsid w:val="636219FA"/>
    <w:rsid w:val="636F2EBA"/>
    <w:rsid w:val="6378024A"/>
    <w:rsid w:val="64120005"/>
    <w:rsid w:val="64281D7B"/>
    <w:rsid w:val="648322E1"/>
    <w:rsid w:val="65507243"/>
    <w:rsid w:val="65576B9C"/>
    <w:rsid w:val="656027FF"/>
    <w:rsid w:val="65CD37D8"/>
    <w:rsid w:val="66457E51"/>
    <w:rsid w:val="6680376E"/>
    <w:rsid w:val="66ED31EA"/>
    <w:rsid w:val="6740450A"/>
    <w:rsid w:val="675640AC"/>
    <w:rsid w:val="67BF7240"/>
    <w:rsid w:val="68684054"/>
    <w:rsid w:val="691A3243"/>
    <w:rsid w:val="696C42BB"/>
    <w:rsid w:val="696E7DFD"/>
    <w:rsid w:val="698A6B0F"/>
    <w:rsid w:val="69A776B4"/>
    <w:rsid w:val="69DB2AB5"/>
    <w:rsid w:val="6A090E1F"/>
    <w:rsid w:val="6A782EAA"/>
    <w:rsid w:val="6B1D4116"/>
    <w:rsid w:val="6B704279"/>
    <w:rsid w:val="6C7524B1"/>
    <w:rsid w:val="6D020EA1"/>
    <w:rsid w:val="6D45750B"/>
    <w:rsid w:val="6DE835B8"/>
    <w:rsid w:val="6E0F1211"/>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0B3112"/>
    <w:rsid w:val="776F4F23"/>
    <w:rsid w:val="77DE64B7"/>
    <w:rsid w:val="77EC272D"/>
    <w:rsid w:val="78156E78"/>
    <w:rsid w:val="782D5EAF"/>
    <w:rsid w:val="786302A1"/>
    <w:rsid w:val="78905511"/>
    <w:rsid w:val="789F1175"/>
    <w:rsid w:val="7931734A"/>
    <w:rsid w:val="7ADB38D4"/>
    <w:rsid w:val="7B680CB8"/>
    <w:rsid w:val="7C994DB5"/>
    <w:rsid w:val="7D236134"/>
    <w:rsid w:val="7DD2691C"/>
    <w:rsid w:val="7E3563A1"/>
    <w:rsid w:val="7E3E715F"/>
    <w:rsid w:val="7E3F758C"/>
    <w:rsid w:val="7E9326F9"/>
    <w:rsid w:val="7EB56C5D"/>
    <w:rsid w:val="7EE20452"/>
    <w:rsid w:val="7F395D9C"/>
    <w:rsid w:val="7F530DA4"/>
    <w:rsid w:val="7F91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Change w:id="0" w:author="ZTE-Xingguang" w:date="2021-05-07T17:01:00Z">
        <w:pPr>
          <w:widowControl w:val="0"/>
          <w:jc w:val="both"/>
        </w:pPr>
      </w:pPrChange>
    </w:pPr>
    <w:rPr>
      <w:rFonts w:ascii="Times New Roman" w:hAnsi="Times New Roman" w:eastAsiaTheme="minorEastAsia" w:cstheme="minorBidi"/>
      <w:kern w:val="2"/>
      <w:szCs w:val="22"/>
      <w:lang w:val="en-US" w:eastAsia="zh-CN" w:bidi="ar-SA"/>
      <w:rPrChange w:id="1" w:author="ZTE-Xingguang" w:date="2021-05-07T17:01:00Z">
        <w:rPr>
          <w:rFonts w:asciiTheme="minorHAnsi" w:hAnsiTheme="minorHAnsi" w:eastAsiaTheme="minorEastAsia" w:cstheme="minorBidi"/>
          <w:kern w:val="2"/>
          <w:sz w:val="21"/>
          <w:szCs w:val="22"/>
          <w:lang w:val="en-US" w:eastAsia="zh-CN" w:bidi="ar-SA"/>
        </w:rPr>
      </w:rPrChange>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ilvl w:val="1"/>
        <w:numId w:val="1"/>
      </w:numPr>
      <w:pBdr>
        <w:top w:val="none" w:color="auto" w:sz="0" w:space="0"/>
      </w:pBdr>
      <w:spacing w:before="180"/>
      <w:ind w:left="575" w:hanging="575"/>
      <w:outlineLvl w:val="1"/>
    </w:pPr>
    <w:rPr>
      <w:sz w:val="32"/>
    </w:rPr>
  </w:style>
  <w:style w:type="paragraph" w:styleId="4">
    <w:name w:val="heading 3"/>
    <w:basedOn w:val="3"/>
    <w:next w:val="1"/>
    <w:link w:val="106"/>
    <w:qFormat/>
    <w:uiPriority w:val="0"/>
    <w:pPr>
      <w:numPr>
        <w:ilvl w:val="2"/>
      </w:numPr>
      <w:spacing w:before="120"/>
      <w:ind w:left="720" w:hanging="720"/>
      <w:outlineLvl w:val="2"/>
    </w:pPr>
    <w:rPr>
      <w:sz w:val="28"/>
    </w:rPr>
  </w:style>
  <w:style w:type="paragraph" w:styleId="5">
    <w:name w:val="heading 4"/>
    <w:basedOn w:val="4"/>
    <w:next w:val="1"/>
    <w:link w:val="107"/>
    <w:qFormat/>
    <w:uiPriority w:val="0"/>
    <w:pPr>
      <w:numPr>
        <w:ilvl w:val="3"/>
      </w:numPr>
      <w:ind w:left="864" w:hanging="864"/>
      <w:outlineLvl w:val="3"/>
    </w:pPr>
    <w:rPr>
      <w:sz w:val="24"/>
    </w:rPr>
  </w:style>
  <w:style w:type="paragraph" w:styleId="6">
    <w:name w:val="heading 5"/>
    <w:basedOn w:val="5"/>
    <w:next w:val="1"/>
    <w:link w:val="108"/>
    <w:qFormat/>
    <w:uiPriority w:val="0"/>
    <w:pPr>
      <w:numPr>
        <w:ilvl w:val="4"/>
      </w:numPr>
      <w:ind w:left="1008" w:hanging="1008"/>
      <w:outlineLvl w:val="4"/>
    </w:pPr>
    <w:rPr>
      <w:sz w:val="22"/>
    </w:rPr>
  </w:style>
  <w:style w:type="paragraph" w:styleId="7">
    <w:name w:val="heading 6"/>
    <w:basedOn w:val="8"/>
    <w:next w:val="1"/>
    <w:qFormat/>
    <w:uiPriority w:val="0"/>
    <w:pPr>
      <w:numPr>
        <w:ilvl w:val="5"/>
      </w:numPr>
      <w:ind w:left="1151" w:hanging="1151"/>
      <w:outlineLvl w:val="5"/>
    </w:pPr>
  </w:style>
  <w:style w:type="paragraph" w:styleId="9">
    <w:name w:val="heading 7"/>
    <w:basedOn w:val="8"/>
    <w:next w:val="1"/>
    <w:qFormat/>
    <w:uiPriority w:val="0"/>
    <w:pPr>
      <w:numPr>
        <w:ilvl w:val="6"/>
      </w:numPr>
      <w:ind w:left="1296" w:hanging="1296"/>
      <w:outlineLvl w:val="6"/>
    </w:pPr>
  </w:style>
  <w:style w:type="paragraph" w:styleId="10">
    <w:name w:val="heading 8"/>
    <w:basedOn w:val="2"/>
    <w:next w:val="1"/>
    <w:qFormat/>
    <w:uiPriority w:val="0"/>
    <w:pPr>
      <w:numPr>
        <w:ilvl w:val="7"/>
        <w:numId w:val="1"/>
      </w:numPr>
      <w:ind w:left="1440" w:hanging="1440"/>
      <w:outlineLvl w:val="7"/>
    </w:pPr>
  </w:style>
  <w:style w:type="paragraph" w:styleId="11">
    <w:name w:val="heading 9"/>
    <w:basedOn w:val="10"/>
    <w:next w:val="1"/>
    <w:qFormat/>
    <w:uiPriority w:val="0"/>
    <w:pPr>
      <w:numPr>
        <w:ilvl w:val="8"/>
      </w:numPr>
      <w:ind w:left="1583" w:hanging="1583"/>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A85034-2F15-4216-A8AF-96050D24C2E8}">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1515</Words>
  <Characters>8636</Characters>
  <Lines>71</Lines>
  <Paragraphs>20</Paragraphs>
  <TotalTime>8</TotalTime>
  <ScaleCrop>false</ScaleCrop>
  <LinksUpToDate>false</LinksUpToDate>
  <CharactersWithSpaces>10131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xiaokai</cp:lastModifiedBy>
  <cp:lastPrinted>2018-04-07T03:05:00Z</cp:lastPrinted>
  <dcterms:modified xsi:type="dcterms:W3CDTF">2021-05-10T06:24:56Z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